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BE" w:rsidRDefault="004D52BE" w:rsidP="004D52BE">
      <w:pPr>
        <w:rPr>
          <w:i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4D52BE" w:rsidTr="00E46380">
        <w:tc>
          <w:tcPr>
            <w:tcW w:w="3190" w:type="dxa"/>
          </w:tcPr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4D52BE" w:rsidRPr="002F35DA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4D52BE" w:rsidRDefault="004D52BE" w:rsidP="00E46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2BE" w:rsidRDefault="004D52BE" w:rsidP="004D52BE">
      <w:pPr>
        <w:rPr>
          <w:b/>
        </w:rPr>
      </w:pPr>
    </w:p>
    <w:p w:rsidR="004D52BE" w:rsidRPr="004D52BE" w:rsidRDefault="004D52BE" w:rsidP="004D52BE">
      <w:pPr>
        <w:rPr>
          <w:b/>
        </w:rPr>
      </w:pPr>
      <w:r w:rsidRPr="004D52BE">
        <w:rPr>
          <w:b/>
        </w:rPr>
        <w:t>Информация о нереализованных системообразующих проектах в КМВ</w:t>
      </w:r>
    </w:p>
    <w:p w:rsidR="004D52BE" w:rsidRDefault="004D52BE" w:rsidP="004D52BE">
      <w:r w:rsidRPr="004D52BE">
        <w:t>1.</w:t>
      </w:r>
      <w:r>
        <w:rPr>
          <w:i/>
        </w:rPr>
        <w:t xml:space="preserve"> </w:t>
      </w:r>
      <w:r w:rsidRPr="00947440">
        <w:rPr>
          <w:i/>
        </w:rPr>
        <w:t>Проект создания инновационного медицинского кластера</w:t>
      </w:r>
      <w:r w:rsidR="00CD5717">
        <w:rPr>
          <w:rStyle w:val="a5"/>
          <w:i/>
        </w:rPr>
        <w:footnoteReference w:id="1"/>
      </w:r>
      <w:r w:rsidRPr="00947440">
        <w:t xml:space="preserve"> </w:t>
      </w:r>
      <w:r>
        <w:t>(далее – кластер) в</w:t>
      </w:r>
      <w:r w:rsidRPr="008A4CD4">
        <w:t xml:space="preserve"> </w:t>
      </w:r>
      <w:r>
        <w:t>КМВ</w:t>
      </w:r>
      <w:r w:rsidRPr="008A4CD4">
        <w:t xml:space="preserve"> планировался к реализации с 2012 года</w:t>
      </w:r>
      <w:r w:rsidRPr="008A4CD4">
        <w:rPr>
          <w:rStyle w:val="a5"/>
        </w:rPr>
        <w:footnoteReference w:id="2"/>
      </w:r>
      <w:r w:rsidRPr="008A4CD4">
        <w:t>.</w:t>
      </w:r>
      <w:r>
        <w:t xml:space="preserve"> </w:t>
      </w:r>
      <w:r w:rsidRPr="00371737">
        <w:rPr>
          <w:spacing w:val="-4"/>
        </w:rPr>
        <w:t>С 2014 года реализация</w:t>
      </w:r>
      <w:r>
        <w:rPr>
          <w:spacing w:val="-4"/>
        </w:rPr>
        <w:t xml:space="preserve"> </w:t>
      </w:r>
      <w:r w:rsidRPr="00371737">
        <w:rPr>
          <w:spacing w:val="-4"/>
        </w:rPr>
        <w:t xml:space="preserve">проекта </w:t>
      </w:r>
      <w:r>
        <w:t>предполагала</w:t>
      </w:r>
      <w:r w:rsidRPr="008A4CD4">
        <w:t xml:space="preserve"> привлечение средств федерального бюджета и бюджета Ставропольского края</w:t>
      </w:r>
      <w:r>
        <w:rPr>
          <w:rStyle w:val="a5"/>
        </w:rPr>
        <w:footnoteReference w:id="3"/>
      </w:r>
      <w:r w:rsidRPr="008A4CD4">
        <w:t>.</w:t>
      </w:r>
    </w:p>
    <w:p w:rsidR="004D52BE" w:rsidRPr="008A4CD4" w:rsidRDefault="004D52BE" w:rsidP="004D52BE">
      <w:r>
        <w:t xml:space="preserve">В 2016 году </w:t>
      </w:r>
      <w:r w:rsidRPr="008A4CD4">
        <w:t>на создани</w:t>
      </w:r>
      <w:r>
        <w:t>е</w:t>
      </w:r>
      <w:r w:rsidRPr="008A4CD4">
        <w:t xml:space="preserve"> </w:t>
      </w:r>
      <w:r w:rsidRPr="006450C3">
        <w:t xml:space="preserve">кластера были </w:t>
      </w:r>
      <w:r>
        <w:t>предусмотрены</w:t>
      </w:r>
      <w:r w:rsidRPr="008A4CD4">
        <w:t xml:space="preserve"> ассигнования федерального бюджета в размере </w:t>
      </w:r>
      <w:r w:rsidRPr="00C91E58">
        <w:rPr>
          <w:spacing w:val="-7"/>
        </w:rPr>
        <w:t>1</w:t>
      </w:r>
      <w:r>
        <w:rPr>
          <w:spacing w:val="-7"/>
        </w:rPr>
        <w:t>,</w:t>
      </w:r>
      <w:r w:rsidRPr="00C91E58">
        <w:rPr>
          <w:spacing w:val="-7"/>
        </w:rPr>
        <w:t>6 мл</w:t>
      </w:r>
      <w:r>
        <w:rPr>
          <w:spacing w:val="-7"/>
        </w:rPr>
        <w:t>рд</w:t>
      </w:r>
      <w:r w:rsidRPr="00C91E58">
        <w:rPr>
          <w:spacing w:val="-7"/>
        </w:rPr>
        <w:t> рублей</w:t>
      </w:r>
      <w:r w:rsidRPr="00C91E58">
        <w:rPr>
          <w:rStyle w:val="a5"/>
          <w:spacing w:val="-7"/>
        </w:rPr>
        <w:footnoteReference w:id="4"/>
      </w:r>
      <w:r w:rsidRPr="00C91E58">
        <w:rPr>
          <w:spacing w:val="-7"/>
        </w:rPr>
        <w:t>. При этом на начало 2016 года проект концепции</w:t>
      </w:r>
      <w:r w:rsidRPr="008A4CD4">
        <w:t xml:space="preserve"> кластера не </w:t>
      </w:r>
      <w:r w:rsidRPr="008A4CD4">
        <w:rPr>
          <w:spacing w:val="-4"/>
        </w:rPr>
        <w:t xml:space="preserve">был утвержден. Соответствующее решение принято </w:t>
      </w:r>
      <w:r w:rsidRPr="008A4CD4">
        <w:t>в августе 2016</w:t>
      </w:r>
      <w:r>
        <w:t> </w:t>
      </w:r>
      <w:r w:rsidRPr="008A4CD4">
        <w:t>года</w:t>
      </w:r>
      <w:r w:rsidRPr="008A4CD4">
        <w:rPr>
          <w:rStyle w:val="a5"/>
        </w:rPr>
        <w:footnoteReference w:id="5"/>
      </w:r>
      <w:r w:rsidRPr="008A4CD4">
        <w:t xml:space="preserve"> с планируемым размещением</w:t>
      </w:r>
      <w:r>
        <w:t xml:space="preserve"> кластера</w:t>
      </w:r>
      <w:r w:rsidRPr="008A4CD4">
        <w:t xml:space="preserve"> вблизи аэропорта Минеральные Воды (Ставропольский край).</w:t>
      </w:r>
    </w:p>
    <w:p w:rsidR="004D52BE" w:rsidRDefault="004D52BE" w:rsidP="004D52BE">
      <w:pPr>
        <w:rPr>
          <w:spacing w:val="-6"/>
        </w:rPr>
      </w:pPr>
      <w:r w:rsidRPr="00767408">
        <w:t xml:space="preserve">В связи c отсутствием проработанных решений по размещению </w:t>
      </w:r>
      <w:r w:rsidRPr="00767408">
        <w:br/>
      </w:r>
      <w:r>
        <w:t xml:space="preserve">кластера </w:t>
      </w:r>
      <w:r w:rsidRPr="00767408">
        <w:t xml:space="preserve"> между Минкавказом России и губернатором Ставропольского края</w:t>
      </w:r>
      <w:r w:rsidRPr="00767408">
        <w:rPr>
          <w:rStyle w:val="a5"/>
        </w:rPr>
        <w:footnoteReference w:id="6"/>
      </w:r>
      <w:r w:rsidRPr="00767408">
        <w:t xml:space="preserve"> в 2017 году принято решение о переносе территории</w:t>
      </w:r>
      <w:r w:rsidRPr="00767408">
        <w:br/>
      </w:r>
      <w:r w:rsidRPr="00767408">
        <w:rPr>
          <w:spacing w:val="-6"/>
        </w:rPr>
        <w:lastRenderedPageBreak/>
        <w:t>реализации проекта в Малокарачаевский район Карачаево-Черкесской Республики</w:t>
      </w:r>
      <w:r>
        <w:rPr>
          <w:spacing w:val="-6"/>
        </w:rPr>
        <w:t>.</w:t>
      </w:r>
    </w:p>
    <w:p w:rsidR="004D52BE" w:rsidRPr="00947440" w:rsidRDefault="004D52BE" w:rsidP="004D52BE">
      <w:r w:rsidRPr="008A4CD4">
        <w:t>Проектирование строительства кластера начато в 2018 году</w:t>
      </w:r>
      <w:r w:rsidRPr="008A4CD4">
        <w:rPr>
          <w:rStyle w:val="a5"/>
        </w:rPr>
        <w:footnoteReference w:id="7"/>
      </w:r>
      <w:r w:rsidRPr="008A4CD4">
        <w:t xml:space="preserve">. В октябре 2018 года оплата работ составила 86,2 млн рублей. Однако в связи с отсутствием первоначальной проработки вопросов обеспечения транспортной доступности медицинского кластера </w:t>
      </w:r>
      <w:r w:rsidRPr="00371737">
        <w:rPr>
          <w:spacing w:val="-8"/>
        </w:rPr>
        <w:t>и технологического присоединения к сетям в дальнейшем бюджетные ассигнования</w:t>
      </w:r>
      <w:r w:rsidRPr="008A4CD4">
        <w:t xml:space="preserve"> </w:t>
      </w:r>
      <w:r w:rsidRPr="00947440">
        <w:t>федерального бюджета на реализацию проекта не предусматривались</w:t>
      </w:r>
      <w:r w:rsidRPr="00947440">
        <w:rPr>
          <w:rStyle w:val="a5"/>
        </w:rPr>
        <w:footnoteReference w:id="8"/>
      </w:r>
      <w:r w:rsidRPr="00947440">
        <w:t xml:space="preserve">, а продолжение его реализации признано целесообразным за счет внебюджетных </w:t>
      </w:r>
      <w:r w:rsidRPr="00947440">
        <w:rPr>
          <w:spacing w:val="-4"/>
        </w:rPr>
        <w:t>источников финансирования. По решению Правительства Российской Федерации</w:t>
      </w:r>
      <w:r w:rsidRPr="00947440">
        <w:t xml:space="preserve"> мероприятие исключено из госпрограммы </w:t>
      </w:r>
      <w:r>
        <w:t xml:space="preserve">СКФО </w:t>
      </w:r>
      <w:r w:rsidRPr="00947440">
        <w:t>в 2021 году</w:t>
      </w:r>
      <w:r w:rsidRPr="00947440">
        <w:rPr>
          <w:rStyle w:val="a5"/>
        </w:rPr>
        <w:footnoteReference w:id="9"/>
      </w:r>
      <w:r w:rsidRPr="00947440">
        <w:t>.</w:t>
      </w:r>
    </w:p>
    <w:p w:rsidR="004D52BE" w:rsidRPr="00947440" w:rsidRDefault="004D52BE" w:rsidP="004D52BE">
      <w:r w:rsidRPr="00947440">
        <w:t xml:space="preserve">Неиспользованный остаток средств федерального бюджета в целях создания кластера в КМВ в размере 1,5 млрд рублей по решению Правительства Российской Федерации перераспределен только с 21 апреля </w:t>
      </w:r>
      <w:r>
        <w:t xml:space="preserve"> 2</w:t>
      </w:r>
      <w:r w:rsidRPr="00947440">
        <w:t>021 года на реализацию инвестиционных проектов на территории СКФО</w:t>
      </w:r>
      <w:r w:rsidRPr="00947440">
        <w:rPr>
          <w:rStyle w:val="a5"/>
        </w:rPr>
        <w:footnoteReference w:id="10"/>
      </w:r>
      <w:r w:rsidRPr="00947440">
        <w:t>.</w:t>
      </w:r>
    </w:p>
    <w:p w:rsidR="004D52BE" w:rsidRPr="00947440" w:rsidRDefault="004D52BE" w:rsidP="004D52BE">
      <w:r w:rsidRPr="00947440">
        <w:t>Причинами срыва реализации проекта по созданию кластера в КМВ являлись:</w:t>
      </w:r>
    </w:p>
    <w:p w:rsidR="004D52BE" w:rsidRPr="006450C3" w:rsidRDefault="004D52BE" w:rsidP="004D52BE">
      <w:pPr>
        <w:pStyle w:val="a6"/>
        <w:numPr>
          <w:ilvl w:val="0"/>
          <w:numId w:val="1"/>
        </w:numPr>
        <w:ind w:left="0" w:firstLine="709"/>
      </w:pPr>
      <w:r w:rsidRPr="006450C3">
        <w:t xml:space="preserve">узковедомственный подход к реализации проекта, изначально ориентированный на создание объектов инфраструктуры кластера </w:t>
      </w:r>
      <w:r w:rsidRPr="006450C3">
        <w:br/>
        <w:t>без опоры на формировани</w:t>
      </w:r>
      <w:r>
        <w:t>е и</w:t>
      </w:r>
      <w:r w:rsidRPr="006450C3">
        <w:t xml:space="preserve"> объединение предприятий, связанных отношениями территориальной близости и функциональной зависимости </w:t>
      </w:r>
      <w:r w:rsidRPr="006450C3">
        <w:br/>
        <w:t>в сфере производства и реализации товаров и услуг</w:t>
      </w:r>
      <w:r w:rsidRPr="006450C3">
        <w:rPr>
          <w:rStyle w:val="a5"/>
        </w:rPr>
        <w:footnoteReference w:id="11"/>
      </w:r>
      <w:r w:rsidRPr="006450C3">
        <w:t>;</w:t>
      </w:r>
    </w:p>
    <w:p w:rsidR="004D52BE" w:rsidRPr="006450C3" w:rsidRDefault="004D52BE" w:rsidP="004D52BE">
      <w:pPr>
        <w:pStyle w:val="a6"/>
        <w:numPr>
          <w:ilvl w:val="0"/>
          <w:numId w:val="1"/>
        </w:numPr>
        <w:ind w:left="0" w:firstLine="709"/>
      </w:pPr>
      <w:r w:rsidRPr="006450C3">
        <w:t xml:space="preserve">отсутствие согласованного перечня мер поддержки, имеющих скоординированный межведомственных характер, в том числе по налоговому </w:t>
      </w:r>
      <w:r w:rsidRPr="006450C3">
        <w:lastRenderedPageBreak/>
        <w:t>стимулированию научной и предпринимательской деятельности в рамках кластера, повышению доступности финансовых ресурсов;</w:t>
      </w:r>
    </w:p>
    <w:p w:rsidR="004D52BE" w:rsidRPr="006450C3" w:rsidRDefault="004D52BE" w:rsidP="004D52BE">
      <w:pPr>
        <w:pStyle w:val="a6"/>
        <w:numPr>
          <w:ilvl w:val="0"/>
          <w:numId w:val="1"/>
        </w:numPr>
        <w:ind w:left="0" w:firstLine="709"/>
      </w:pPr>
      <w:r w:rsidRPr="006450C3">
        <w:t xml:space="preserve">отсутствие </w:t>
      </w:r>
      <w:r>
        <w:t>итогового решения</w:t>
      </w:r>
      <w:r w:rsidRPr="006450C3">
        <w:t xml:space="preserve"> по размещению </w:t>
      </w:r>
      <w:r>
        <w:t xml:space="preserve">отдельных объектов </w:t>
      </w:r>
      <w:r w:rsidRPr="006450C3">
        <w:t>кластера.</w:t>
      </w:r>
    </w:p>
    <w:p w:rsidR="004D52BE" w:rsidRPr="008A4CD4" w:rsidRDefault="004D52BE" w:rsidP="004D52BE">
      <w:r w:rsidRPr="004D52BE">
        <w:t>2.</w:t>
      </w:r>
      <w:r>
        <w:rPr>
          <w:i/>
        </w:rPr>
        <w:t xml:space="preserve"> </w:t>
      </w:r>
      <w:r w:rsidRPr="00F0392C">
        <w:rPr>
          <w:i/>
        </w:rPr>
        <w:t>Особая экономическая зона туристско-рекреационного типа</w:t>
      </w:r>
      <w:r w:rsidRPr="008A4CD4">
        <w:t xml:space="preserve"> </w:t>
      </w:r>
      <w:r>
        <w:t>в</w:t>
      </w:r>
      <w:r w:rsidRPr="008A4CD4">
        <w:t xml:space="preserve"> </w:t>
      </w:r>
      <w:r>
        <w:t>КМВ</w:t>
      </w:r>
      <w:r w:rsidRPr="008A4CD4">
        <w:t xml:space="preserve"> в границах Ставропольского края </w:t>
      </w:r>
      <w:r>
        <w:t xml:space="preserve">(далее – ОЭЗ) </w:t>
      </w:r>
      <w:r w:rsidRPr="008A4CD4">
        <w:t xml:space="preserve">создана в 2007 году </w:t>
      </w:r>
      <w:r>
        <w:br/>
      </w:r>
      <w:r w:rsidRPr="008D22F7">
        <w:rPr>
          <w:spacing w:val="-4"/>
        </w:rPr>
        <w:t>в соответствии с решением Правительства Российской Федерации</w:t>
      </w:r>
      <w:r w:rsidRPr="008D22F7">
        <w:rPr>
          <w:rStyle w:val="a5"/>
          <w:spacing w:val="-4"/>
        </w:rPr>
        <w:footnoteReference w:id="12"/>
      </w:r>
      <w:r w:rsidRPr="008D22F7">
        <w:rPr>
          <w:spacing w:val="-4"/>
        </w:rPr>
        <w:t>. В 2012 году</w:t>
      </w:r>
      <w:r w:rsidRPr="008A4CD4">
        <w:t xml:space="preserve"> </w:t>
      </w:r>
      <w:r>
        <w:t>ОЭЗ</w:t>
      </w:r>
      <w:r w:rsidRPr="008A4CD4">
        <w:t xml:space="preserve"> включена в состав туристического кластера в С</w:t>
      </w:r>
      <w:r>
        <w:t>КФО</w:t>
      </w:r>
      <w:r w:rsidRPr="008A4CD4">
        <w:t>, Краснодарском крае и Республике Адыгея</w:t>
      </w:r>
      <w:r w:rsidRPr="008A4CD4">
        <w:rPr>
          <w:rStyle w:val="a5"/>
        </w:rPr>
        <w:footnoteReference w:id="13"/>
      </w:r>
      <w:r w:rsidRPr="008A4CD4">
        <w:t>.</w:t>
      </w:r>
    </w:p>
    <w:p w:rsidR="004D52BE" w:rsidRPr="008A4CD4" w:rsidRDefault="004D52BE" w:rsidP="004D52BE">
      <w:r w:rsidRPr="008A4CD4">
        <w:t xml:space="preserve">Первоначально предполагалось, что инвестиционные проекты </w:t>
      </w:r>
      <w:r>
        <w:t>ОЭЗ</w:t>
      </w:r>
      <w:r w:rsidRPr="008A4CD4">
        <w:t xml:space="preserve"> </w:t>
      </w:r>
      <w:r>
        <w:br/>
      </w:r>
      <w:r w:rsidRPr="008D22F7">
        <w:rPr>
          <w:spacing w:val="-4"/>
        </w:rPr>
        <w:t>будут размещены на территориях 7 муниципальных образований КМВ</w:t>
      </w:r>
      <w:r w:rsidRPr="008D22F7">
        <w:rPr>
          <w:rStyle w:val="a5"/>
          <w:spacing w:val="-4"/>
        </w:rPr>
        <w:footnoteReference w:id="14"/>
      </w:r>
      <w:r w:rsidRPr="008D22F7">
        <w:rPr>
          <w:spacing w:val="-4"/>
        </w:rPr>
        <w:t>.</w:t>
      </w:r>
      <w:r w:rsidRPr="008A4CD4">
        <w:t xml:space="preserve"> </w:t>
      </w:r>
      <w:r w:rsidRPr="008D22F7">
        <w:rPr>
          <w:spacing w:val="-2"/>
        </w:rPr>
        <w:t>Вместе с тем в дальнейшем первоначальная концепция ОЭЗ была пересмотрена</w:t>
      </w:r>
      <w:r>
        <w:rPr>
          <w:spacing w:val="-2"/>
        </w:rPr>
        <w:t xml:space="preserve"> </w:t>
      </w:r>
      <w:r>
        <w:rPr>
          <w:spacing w:val="-2"/>
        </w:rPr>
        <w:br/>
        <w:t xml:space="preserve">с </w:t>
      </w:r>
      <w:r>
        <w:t>уменьшением</w:t>
      </w:r>
      <w:r w:rsidRPr="008A4CD4">
        <w:t xml:space="preserve"> масштаб</w:t>
      </w:r>
      <w:r>
        <w:t>а</w:t>
      </w:r>
      <w:r w:rsidRPr="008A4CD4">
        <w:t xml:space="preserve"> реализации до</w:t>
      </w:r>
      <w:r>
        <w:t xml:space="preserve"> одного</w:t>
      </w:r>
      <w:r w:rsidRPr="008A4CD4">
        <w:t xml:space="preserve"> проекта «Гранд СПА-Юца» </w:t>
      </w:r>
      <w:r>
        <w:br/>
      </w:r>
      <w:r w:rsidRPr="008A4CD4">
        <w:t>в Предгорном районе Ставропольского края</w:t>
      </w:r>
      <w:r w:rsidRPr="008A4CD4">
        <w:rPr>
          <w:rStyle w:val="a5"/>
        </w:rPr>
        <w:footnoteReference w:id="15"/>
      </w:r>
      <w:r w:rsidRPr="008A4CD4">
        <w:t>.</w:t>
      </w:r>
      <w:r>
        <w:t xml:space="preserve"> </w:t>
      </w:r>
      <w:r w:rsidRPr="008A4CD4">
        <w:t xml:space="preserve">Стоимость проекта «Гранд </w:t>
      </w:r>
      <w:r>
        <w:br/>
      </w:r>
      <w:r w:rsidRPr="008A4CD4">
        <w:t>СПА-Юца» оценивалась в размере 26,7 млрд рублей</w:t>
      </w:r>
      <w:r w:rsidRPr="008A4CD4">
        <w:rPr>
          <w:rStyle w:val="a5"/>
        </w:rPr>
        <w:footnoteReference w:id="16"/>
      </w:r>
      <w:r w:rsidRPr="008A4CD4">
        <w:t xml:space="preserve">. Финансовое обеспечение мероприятий по созданию </w:t>
      </w:r>
      <w:r>
        <w:t>ОЭЗ</w:t>
      </w:r>
      <w:r w:rsidRPr="008A4CD4">
        <w:t xml:space="preserve"> за счет средств федерального бюджета составило 81,2 млн. рублей</w:t>
      </w:r>
      <w:r w:rsidRPr="008A4CD4">
        <w:rPr>
          <w:rStyle w:val="a5"/>
        </w:rPr>
        <w:footnoteReference w:id="17"/>
      </w:r>
      <w:r w:rsidRPr="008A4CD4">
        <w:t>.</w:t>
      </w:r>
    </w:p>
    <w:p w:rsidR="004D52BE" w:rsidRPr="008A4CD4" w:rsidRDefault="004D52BE" w:rsidP="004D52BE">
      <w:r>
        <w:t>П</w:t>
      </w:r>
      <w:r w:rsidRPr="008A4CD4">
        <w:t xml:space="preserve">ричинами </w:t>
      </w:r>
      <w:r w:rsidRPr="00BB6970">
        <w:t xml:space="preserve">срыва реализации </w:t>
      </w:r>
      <w:r w:rsidRPr="008A4CD4">
        <w:t xml:space="preserve">проекта по созданию </w:t>
      </w:r>
      <w:r>
        <w:t>ОЭЗ</w:t>
      </w:r>
      <w:r w:rsidRPr="008A4CD4">
        <w:t xml:space="preserve"> являлись:</w:t>
      </w:r>
    </w:p>
    <w:p w:rsidR="004D52BE" w:rsidRPr="008A4CD4" w:rsidRDefault="004D52BE" w:rsidP="004D52BE">
      <w:pPr>
        <w:pStyle w:val="a6"/>
        <w:numPr>
          <w:ilvl w:val="0"/>
          <w:numId w:val="1"/>
        </w:numPr>
        <w:ind w:left="0" w:firstLine="709"/>
      </w:pPr>
      <w:r w:rsidRPr="00F0392C">
        <w:lastRenderedPageBreak/>
        <w:t>пересмотр первоначальной концепции реализации инвестиционных проектов</w:t>
      </w:r>
      <w:r w:rsidRPr="008A4CD4">
        <w:t xml:space="preserve"> в границах </w:t>
      </w:r>
      <w:r>
        <w:t>КМВ</w:t>
      </w:r>
      <w:r w:rsidRPr="008A4CD4">
        <w:t xml:space="preserve"> </w:t>
      </w:r>
      <w:r>
        <w:t>с</w:t>
      </w:r>
      <w:r w:rsidRPr="008A4CD4">
        <w:t xml:space="preserve"> уменьшение</w:t>
      </w:r>
      <w:r>
        <w:t>м</w:t>
      </w:r>
      <w:r w:rsidRPr="008A4CD4">
        <w:t xml:space="preserve"> масштаба</w:t>
      </w:r>
      <w:r>
        <w:t xml:space="preserve"> реализации ОЭЗ</w:t>
      </w:r>
      <w:r w:rsidRPr="008A4CD4">
        <w:t>;</w:t>
      </w:r>
    </w:p>
    <w:p w:rsidR="004D52BE" w:rsidRPr="008A4CD4" w:rsidRDefault="004D52BE" w:rsidP="004D52BE">
      <w:pPr>
        <w:pStyle w:val="a6"/>
        <w:numPr>
          <w:ilvl w:val="0"/>
          <w:numId w:val="1"/>
        </w:numPr>
        <w:ind w:left="0" w:firstLine="709"/>
      </w:pPr>
      <w:r w:rsidRPr="008B3C14">
        <w:t xml:space="preserve">выбор неоптимального участка </w:t>
      </w:r>
      <w:r>
        <w:t xml:space="preserve">размещения </w:t>
      </w:r>
      <w:r w:rsidRPr="008A4CD4">
        <w:t xml:space="preserve">проекта «Гранд </w:t>
      </w:r>
      <w:r>
        <w:br/>
      </w:r>
      <w:r w:rsidRPr="008A4CD4">
        <w:t xml:space="preserve">СПА-Юца», </w:t>
      </w:r>
      <w:r w:rsidRPr="00F0392C">
        <w:t xml:space="preserve">удаленность Предгорного района Ставропольского края </w:t>
      </w:r>
      <w:r>
        <w:br/>
      </w:r>
      <w:r w:rsidRPr="00F0392C">
        <w:t xml:space="preserve">от исторических центров </w:t>
      </w:r>
      <w:r>
        <w:t>–</w:t>
      </w:r>
      <w:r w:rsidRPr="008A4CD4">
        <w:t xml:space="preserve"> городов-курортов </w:t>
      </w:r>
      <w:r>
        <w:t>КМВ</w:t>
      </w:r>
      <w:r w:rsidRPr="008A4CD4">
        <w:t>;</w:t>
      </w:r>
    </w:p>
    <w:p w:rsidR="004D52BE" w:rsidRPr="008A4CD4" w:rsidRDefault="004D52BE" w:rsidP="004D52BE">
      <w:pPr>
        <w:pStyle w:val="a6"/>
        <w:numPr>
          <w:ilvl w:val="0"/>
          <w:numId w:val="1"/>
        </w:numPr>
        <w:ind w:left="0" w:firstLine="709"/>
      </w:pPr>
      <w:r w:rsidRPr="008A4CD4">
        <w:t>невысокая экономическая привлекательность территории, специализация которой сконцентрирована в сфере сельского хозяйства.</w:t>
      </w:r>
    </w:p>
    <w:p w:rsidR="004D52BE" w:rsidRPr="008A4CD4" w:rsidRDefault="004D52BE" w:rsidP="004D52BE">
      <w:r w:rsidRPr="008A4CD4">
        <w:t xml:space="preserve">В 2016 году существование </w:t>
      </w:r>
      <w:r>
        <w:t>ОЭЗ</w:t>
      </w:r>
      <w:r w:rsidRPr="008A4CD4">
        <w:t xml:space="preserve"> на территории Ставропольского края</w:t>
      </w:r>
      <w:r>
        <w:t xml:space="preserve"> </w:t>
      </w:r>
      <w:r w:rsidRPr="008A4CD4">
        <w:t>досрочно прекращено в связи с отсутствием зарегистрированных резидентов</w:t>
      </w:r>
      <w:r w:rsidRPr="008A4CD4">
        <w:rPr>
          <w:rStyle w:val="a5"/>
        </w:rPr>
        <w:footnoteReference w:id="18"/>
      </w:r>
      <w:r w:rsidRPr="008A4CD4">
        <w:t>.</w:t>
      </w:r>
    </w:p>
    <w:p w:rsidR="004D52BE" w:rsidRPr="006450C3" w:rsidRDefault="004D52BE" w:rsidP="004D52BE">
      <w:pPr>
        <w:rPr>
          <w:spacing w:val="-6"/>
        </w:rPr>
      </w:pPr>
      <w:r w:rsidRPr="004D52BE">
        <w:rPr>
          <w:spacing w:val="-2"/>
        </w:rPr>
        <w:t>3.</w:t>
      </w:r>
      <w:r>
        <w:rPr>
          <w:i/>
          <w:spacing w:val="-2"/>
        </w:rPr>
        <w:t xml:space="preserve"> </w:t>
      </w:r>
      <w:r w:rsidRPr="006450C3">
        <w:rPr>
          <w:i/>
          <w:spacing w:val="-2"/>
        </w:rPr>
        <w:t>Проект строительства объекта государственной собственности Ставропольского края «Кавминводский велотерренкур»</w:t>
      </w:r>
      <w:r w:rsidRPr="006450C3">
        <w:rPr>
          <w:spacing w:val="-2"/>
        </w:rPr>
        <w:t xml:space="preserve"> </w:t>
      </w:r>
      <w:r>
        <w:t>–</w:t>
      </w:r>
      <w:r w:rsidRPr="006450C3">
        <w:rPr>
          <w:spacing w:val="-2"/>
        </w:rPr>
        <w:t xml:space="preserve"> уникальной велосипедной трассы, объединяющей города-курорты Железноводск, Минеральные Воды и Лермонтов планировался к реализации с 2021 года</w:t>
      </w:r>
      <w:r w:rsidRPr="006450C3">
        <w:rPr>
          <w:rStyle w:val="a5"/>
          <w:spacing w:val="-2"/>
        </w:rPr>
        <w:footnoteReference w:id="19"/>
      </w:r>
      <w:r w:rsidRPr="006450C3">
        <w:rPr>
          <w:spacing w:val="-2"/>
        </w:rPr>
        <w:t xml:space="preserve">. </w:t>
      </w:r>
      <w:r w:rsidRPr="006450C3">
        <w:rPr>
          <w:spacing w:val="-2"/>
        </w:rPr>
        <w:br/>
        <w:t xml:space="preserve">Вместе с тем при наличии утвержденных бюджетных ассигнований </w:t>
      </w:r>
      <w:r w:rsidRPr="006450C3">
        <w:rPr>
          <w:spacing w:val="-2"/>
        </w:rPr>
        <w:br/>
        <w:t>федерального бюджета на реализацию проекта с 2021 года сроки его реализации неоднократно переносились по причине недостаточной проработки проектных</w:t>
      </w:r>
      <w:r>
        <w:rPr>
          <w:spacing w:val="-2"/>
        </w:rPr>
        <w:t xml:space="preserve"> </w:t>
      </w:r>
      <w:r w:rsidRPr="006450C3">
        <w:rPr>
          <w:spacing w:val="-6"/>
        </w:rPr>
        <w:t>решений размещения объекта в границах особо охраняемых природных территорий, а объем фактических расходов бюджета Ставропольского края на указанные цели</w:t>
      </w:r>
      <w:r>
        <w:rPr>
          <w:spacing w:val="-6"/>
        </w:rPr>
        <w:t xml:space="preserve"> </w:t>
      </w:r>
      <w:r w:rsidRPr="006450C3">
        <w:rPr>
          <w:spacing w:val="-6"/>
        </w:rPr>
        <w:t>составил 31,9 млн рублей.</w:t>
      </w:r>
    </w:p>
    <w:p w:rsidR="004D52BE" w:rsidRPr="006450C3" w:rsidRDefault="004D52BE" w:rsidP="004D52BE">
      <w:pPr>
        <w:rPr>
          <w:spacing w:val="-2"/>
        </w:rPr>
      </w:pPr>
      <w:r w:rsidRPr="006450C3">
        <w:rPr>
          <w:spacing w:val="-2"/>
        </w:rPr>
        <w:t xml:space="preserve">По </w:t>
      </w:r>
      <w:r w:rsidRPr="00631DB7">
        <w:rPr>
          <w:spacing w:val="-2"/>
        </w:rPr>
        <w:t>состоянию на 1 июля 2022 года планируемые</w:t>
      </w:r>
      <w:r w:rsidRPr="006450C3">
        <w:rPr>
          <w:spacing w:val="-2"/>
        </w:rPr>
        <w:t xml:space="preserve"> сроки создания «Кавминводского велотерренкура» Минэкономразвития России предложено </w:t>
      </w:r>
      <w:r w:rsidRPr="006450C3">
        <w:rPr>
          <w:spacing w:val="-2"/>
        </w:rPr>
        <w:br/>
        <w:t>перенести на 2024–2026 годы с перераспределением бюджетных ассигнований</w:t>
      </w:r>
      <w:r w:rsidRPr="006450C3">
        <w:rPr>
          <w:spacing w:val="-2"/>
        </w:rPr>
        <w:br/>
        <w:t>федерального бюджета на 2022</w:t>
      </w:r>
      <w:r>
        <w:t>–</w:t>
      </w:r>
      <w:r w:rsidRPr="006450C3">
        <w:rPr>
          <w:spacing w:val="-2"/>
        </w:rPr>
        <w:t xml:space="preserve">2023 годы на иные мероприятия </w:t>
      </w:r>
      <w:r w:rsidRPr="006450C3">
        <w:rPr>
          <w:spacing w:val="-2"/>
        </w:rPr>
        <w:br/>
        <w:t>госпрограммы СКФО.</w:t>
      </w:r>
    </w:p>
    <w:p w:rsidR="00782B09" w:rsidRDefault="00782B09"/>
    <w:sectPr w:rsidR="00782B09" w:rsidSect="004D52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44" w:rsidRDefault="00C23744" w:rsidP="004D52BE">
      <w:pPr>
        <w:spacing w:line="240" w:lineRule="auto"/>
      </w:pPr>
      <w:r>
        <w:separator/>
      </w:r>
    </w:p>
  </w:endnote>
  <w:endnote w:type="continuationSeparator" w:id="0">
    <w:p w:rsidR="00C23744" w:rsidRDefault="00C23744" w:rsidP="004D5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44" w:rsidRDefault="00C23744" w:rsidP="004D52BE">
      <w:pPr>
        <w:spacing w:line="240" w:lineRule="auto"/>
      </w:pPr>
      <w:r>
        <w:separator/>
      </w:r>
    </w:p>
  </w:footnote>
  <w:footnote w:type="continuationSeparator" w:id="0">
    <w:p w:rsidR="00C23744" w:rsidRDefault="00C23744" w:rsidP="004D52BE">
      <w:pPr>
        <w:spacing w:line="240" w:lineRule="auto"/>
      </w:pPr>
      <w:r>
        <w:continuationSeparator/>
      </w:r>
    </w:p>
  </w:footnote>
  <w:footnote w:id="1">
    <w:p w:rsidR="00CD5717" w:rsidRDefault="00CD5717" w:rsidP="00CD5717">
      <w:pPr>
        <w:pStyle w:val="a3"/>
        <w:ind w:firstLine="0"/>
      </w:pPr>
      <w:r w:rsidRPr="0077278D">
        <w:rPr>
          <w:vertAlign w:val="superscript"/>
        </w:rPr>
        <w:footnoteRef/>
      </w:r>
      <w:r w:rsidRPr="0077278D">
        <w:rPr>
          <w:vertAlign w:val="superscript"/>
        </w:rPr>
        <w:t> </w:t>
      </w:r>
      <w:r w:rsidRPr="0077278D">
        <w:t>С учетом результатов контрольного мероприятия Счетной палаты Российской Федерации «Проверка обоснованности и эффективности предоставления в 2016-2018 годах бюджетных ассигнований в уставный капитал акционерного общества «Корпорация развития Северного Кавказа» в целях создания медицинского кластера на территории Кавказских Минеральных Вод и реализации инвестиционных проектов на территории Северо-Кавказского федерального округа».</w:t>
      </w:r>
    </w:p>
  </w:footnote>
  <w:footnote w:id="2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rPr>
          <w:lang w:val="en-US"/>
        </w:rPr>
        <w:t> </w:t>
      </w:r>
      <w:r w:rsidRPr="00107666">
        <w:t xml:space="preserve">В рамках госпрограммы СКФО, утвержденной распоряжением Правительства Российской Федерации </w:t>
      </w:r>
      <w:r w:rsidRPr="00107666">
        <w:br/>
      </w:r>
      <w:r w:rsidRPr="00107666">
        <w:rPr>
          <w:spacing w:val="-4"/>
        </w:rPr>
        <w:t xml:space="preserve">от 17 декабря 2012 г. № 2408-р. </w:t>
      </w:r>
    </w:p>
  </w:footnote>
  <w:footnote w:id="3">
    <w:p w:rsidR="004D52BE" w:rsidRDefault="004D52BE" w:rsidP="004D52BE">
      <w:pPr>
        <w:pStyle w:val="a3"/>
        <w:ind w:firstLine="0"/>
      </w:pPr>
      <w:r>
        <w:rPr>
          <w:rStyle w:val="a5"/>
        </w:rPr>
        <w:footnoteRef/>
      </w:r>
      <w:r>
        <w:t> </w:t>
      </w:r>
      <w:r w:rsidRPr="00A343CD">
        <w:t>По разработанной в 2015 году концепции указанного проекта необходимый объем финансиров</w:t>
      </w:r>
      <w:r>
        <w:t>ания проекта за счет средств федерального бюджета</w:t>
      </w:r>
      <w:r w:rsidRPr="00A343CD">
        <w:t xml:space="preserve"> планировался в объеме 40 млрд рублей</w:t>
      </w:r>
      <w:r>
        <w:t xml:space="preserve">. </w:t>
      </w:r>
      <w:r w:rsidRPr="00A343CD">
        <w:t xml:space="preserve">Разработка концепции указанного проекта осуществлена в 2015 году СОЛВЕ Консалтинг Менеджментбератунг </w:t>
      </w:r>
      <w:r>
        <w:br/>
      </w:r>
      <w:r w:rsidRPr="00A343CD">
        <w:t>ГмбХ (СОЛВЕ Консалтинг) по контракту с акционерным обществом «Корпорация развития Северного Кавказа».</w:t>
      </w:r>
    </w:p>
  </w:footnote>
  <w:footnote w:id="4">
    <w:p w:rsidR="004D52BE" w:rsidRPr="00107666" w:rsidRDefault="004D52BE" w:rsidP="004D52BE">
      <w:pPr>
        <w:pStyle w:val="a3"/>
        <w:spacing w:line="228" w:lineRule="auto"/>
        <w:ind w:firstLine="0"/>
        <w:rPr>
          <w:spacing w:val="-2"/>
        </w:rPr>
      </w:pPr>
      <w:r w:rsidRPr="00107666">
        <w:rPr>
          <w:rStyle w:val="a5"/>
          <w:spacing w:val="-2"/>
        </w:rPr>
        <w:footnoteRef/>
      </w:r>
      <w:r w:rsidRPr="00107666">
        <w:rPr>
          <w:spacing w:val="-2"/>
        </w:rPr>
        <w:t> В соответствии с Федеральным законом от 14 декабря 2015 г. № 359-ФЗ «О федеральном бюджете на 2016 год».</w:t>
      </w:r>
    </w:p>
  </w:footnote>
  <w:footnote w:id="5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> Протокол от 19 августа 2016 г. № 38-БО-2/пр.</w:t>
      </w:r>
    </w:p>
  </w:footnote>
  <w:footnote w:id="6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 Обращение губернатора Ставропольского края к Председателю Правительства Российской Федерации </w:t>
      </w:r>
      <w:r w:rsidRPr="00107666">
        <w:br/>
        <w:t>от 10 марта 2017 г. № 01-23/3258.</w:t>
      </w:r>
    </w:p>
  </w:footnote>
  <w:footnote w:id="7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 В соответствии с контрактом акционерного общества «Корпорация развития Северного Кавказа» </w:t>
      </w:r>
      <w:r w:rsidRPr="00107666">
        <w:br/>
        <w:t>с акционерным обществом «ВЕРФАУ» от 17 января 2018 года на сумму 798,5 млн. рублей. Плановая дата выполнения проектных работ была установлена на май 2019 года.</w:t>
      </w:r>
    </w:p>
  </w:footnote>
  <w:footnote w:id="8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 Мероприятие по созданию медицинского кластера в КМВ с 2019 года по 2021 год реализовывалось </w:t>
      </w:r>
      <w:r w:rsidRPr="00107666">
        <w:br/>
        <w:t xml:space="preserve">в рамках подпрограммы «Поддержка инвестиционных проектов и создание </w:t>
      </w:r>
      <w:r w:rsidRPr="00107666">
        <w:rPr>
          <w:spacing w:val="-6"/>
        </w:rPr>
        <w:t xml:space="preserve">благоприятных условий </w:t>
      </w:r>
      <w:r w:rsidRPr="00107666">
        <w:rPr>
          <w:spacing w:val="-6"/>
        </w:rPr>
        <w:br/>
        <w:t>для инвестиционной деятельности на территории Северо-Кавказского федерального округа».</w:t>
      </w:r>
    </w:p>
  </w:footnote>
  <w:footnote w:id="9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 В соответствии с постановлением Правительства Российской Федерации от 16 декабря 2021 г. № 2335.</w:t>
      </w:r>
    </w:p>
  </w:footnote>
  <w:footnote w:id="10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> В соответствии с распоряжением Правительства Российской Федерации от 21 апреля 2021 г. № 1031-р.</w:t>
      </w:r>
    </w:p>
  </w:footnote>
  <w:footnote w:id="11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> Методические рекомендации по реализации кластерной политики в субъектах Российской Федерации, доведенные письмом Минэкономразвития России от 26 декабря 2008 г. № 20615-ак/д19.</w:t>
      </w:r>
    </w:p>
  </w:footnote>
  <w:footnote w:id="12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 Постановление Правительства Российской Федерации от 3 февраля 2007 г. № 71.</w:t>
      </w:r>
    </w:p>
  </w:footnote>
  <w:footnote w:id="13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 Постановление Правительства Российской Федерации от 14 октября 2010 г. № 833.</w:t>
      </w:r>
    </w:p>
  </w:footnote>
  <w:footnote w:id="14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  <w:spacing w:val="-6"/>
        </w:rPr>
        <w:footnoteRef/>
      </w:r>
      <w:r w:rsidRPr="00107666">
        <w:rPr>
          <w:spacing w:val="-6"/>
        </w:rPr>
        <w:t> Территории города-курорта Ессентуки, города-курорта Железноводска, города-курорта Кисловодска, г. Лермонтова</w:t>
      </w:r>
      <w:r w:rsidRPr="00107666">
        <w:t xml:space="preserve">, </w:t>
      </w:r>
      <w:r w:rsidRPr="00107666">
        <w:rPr>
          <w:spacing w:val="-6"/>
        </w:rPr>
        <w:t>города-курорта Пятигорска, Минераловодского муниципального района и Предгорного муниципального района</w:t>
      </w:r>
      <w:r w:rsidRPr="00107666">
        <w:t xml:space="preserve"> Ставропольского края.</w:t>
      </w:r>
    </w:p>
  </w:footnote>
  <w:footnote w:id="15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> </w:t>
      </w:r>
      <w:r>
        <w:t>П</w:t>
      </w:r>
      <w:r w:rsidRPr="00107666">
        <w:t xml:space="preserve">од строительство комплекса «Гранд СПА Юца» был выделен участок размером 840 га. </w:t>
      </w:r>
      <w:r w:rsidRPr="00107666">
        <w:br/>
        <w:t xml:space="preserve">На данной площадке планировалось построить современные туристические объекты. Комплекс предполагал </w:t>
      </w:r>
      <w:r w:rsidRPr="00107666">
        <w:br/>
        <w:t xml:space="preserve">14 гостиниц, отелей, многочисленные бунгало и апартаменты среднего и высшего ценового сегмента - в целом </w:t>
      </w:r>
      <w:r w:rsidRPr="00107666">
        <w:rPr>
          <w:spacing w:val="-6"/>
        </w:rPr>
        <w:t xml:space="preserve">на 2,8 тыс. номеров и 3,4 тыс. мест. </w:t>
      </w:r>
      <w:r>
        <w:rPr>
          <w:spacing w:val="-6"/>
        </w:rPr>
        <w:t>Планировался е</w:t>
      </w:r>
      <w:r w:rsidRPr="00107666">
        <w:rPr>
          <w:spacing w:val="-6"/>
        </w:rPr>
        <w:t>жегодн</w:t>
      </w:r>
      <w:r>
        <w:rPr>
          <w:spacing w:val="-6"/>
        </w:rPr>
        <w:t>ый</w:t>
      </w:r>
      <w:r w:rsidRPr="00107666">
        <w:rPr>
          <w:spacing w:val="-6"/>
        </w:rPr>
        <w:t xml:space="preserve"> туристическ</w:t>
      </w:r>
      <w:r>
        <w:rPr>
          <w:spacing w:val="-6"/>
        </w:rPr>
        <w:t>ий</w:t>
      </w:r>
      <w:r w:rsidRPr="00107666">
        <w:rPr>
          <w:spacing w:val="-6"/>
        </w:rPr>
        <w:t xml:space="preserve"> поток до 160 тысяч туристов. Центром курорта «Гранд СПА-Юца» рассматривался большой оздоровительный комплекс, оснащенный современным</w:t>
      </w:r>
      <w:r w:rsidRPr="00107666">
        <w:t xml:space="preserve"> оборудованием для медицинской диагностики и лечебных целей. На площадке планировалось построить различные спортивные и развлекательные сооружения, крытые галереи для прогулок, </w:t>
      </w:r>
      <w:r w:rsidRPr="00107666">
        <w:rPr>
          <w:spacing w:val="-6"/>
        </w:rPr>
        <w:t>соединенные с кафе, рестораном, торговым центром, местами для проведения культурно-массовых мероприятий.</w:t>
      </w:r>
      <w:r w:rsidRPr="00107666">
        <w:t xml:space="preserve"> На территории планировалось разместить ботанический сад, создать каскад озер и водопадов, а также оборудовать 3 </w:t>
      </w:r>
      <w:r w:rsidRPr="0077278D">
        <w:t>поля для гольфа</w:t>
      </w:r>
      <w:r w:rsidRPr="00107666">
        <w:t xml:space="preserve"> и </w:t>
      </w:r>
      <w:r w:rsidRPr="0077278D">
        <w:t>построить</w:t>
      </w:r>
      <w:r w:rsidRPr="00107666">
        <w:t xml:space="preserve"> центр для верховой езды и центр дельта- и парапланеризма.</w:t>
      </w:r>
    </w:p>
  </w:footnote>
  <w:footnote w:id="16">
    <w:p w:rsidR="004D52BE" w:rsidRPr="00107666" w:rsidRDefault="004D52BE" w:rsidP="004D52BE">
      <w:pPr>
        <w:pStyle w:val="a3"/>
        <w:spacing w:line="228" w:lineRule="auto"/>
        <w:ind w:firstLine="0"/>
      </w:pPr>
      <w:r w:rsidRPr="0077278D">
        <w:rPr>
          <w:vertAlign w:val="superscript"/>
        </w:rPr>
        <w:footnoteRef/>
      </w:r>
      <w:r w:rsidRPr="00107666">
        <w:t xml:space="preserve"> Распоряжение Правительства Ставропольского края от 15 сентября 2010 г. № 359-рп.</w:t>
      </w:r>
    </w:p>
  </w:footnote>
  <w:footnote w:id="17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 xml:space="preserve"> Отчет Счетной палаты Российской Федерации о результатах экспертно-аналитического мероприятия «Мониторинг эффективности использования бюджетных ассигнований федерального бюджета при создании </w:t>
      </w:r>
      <w:r w:rsidRPr="00107666">
        <w:br/>
      </w:r>
      <w:r w:rsidRPr="00107666">
        <w:rPr>
          <w:spacing w:val="-4"/>
        </w:rPr>
        <w:t>и функционировании в 2017 году особых экономических зон, созданных в соответствии с Федеральным законом</w:t>
      </w:r>
      <w:r w:rsidRPr="00107666">
        <w:t xml:space="preserve"> </w:t>
      </w:r>
      <w:r w:rsidRPr="00107666">
        <w:br/>
        <w:t>от 22 июля 2005 г. № 116-ФЗ «Об особых экономических зонах в Российской Федерации».</w:t>
      </w:r>
    </w:p>
  </w:footnote>
  <w:footnote w:id="18">
    <w:p w:rsidR="004D52BE" w:rsidRPr="00107666" w:rsidRDefault="004D52BE" w:rsidP="004D52BE">
      <w:pPr>
        <w:pStyle w:val="a3"/>
        <w:spacing w:line="228" w:lineRule="auto"/>
        <w:ind w:firstLine="0"/>
      </w:pPr>
      <w:r w:rsidRPr="00107666">
        <w:rPr>
          <w:rStyle w:val="a5"/>
        </w:rPr>
        <w:footnoteRef/>
      </w:r>
      <w:r w:rsidRPr="00107666">
        <w:t> Постановление Правительства Российской Федерации от 28 сентября г. 2016 № 978.</w:t>
      </w:r>
    </w:p>
  </w:footnote>
  <w:footnote w:id="19">
    <w:p w:rsidR="004D52BE" w:rsidRPr="00107666" w:rsidRDefault="004D52BE" w:rsidP="004D52BE">
      <w:pPr>
        <w:pStyle w:val="a3"/>
        <w:spacing w:line="228" w:lineRule="auto"/>
        <w:ind w:firstLine="0"/>
        <w:rPr>
          <w:color w:val="4F81BD" w:themeColor="accent1"/>
        </w:rPr>
      </w:pPr>
      <w:r w:rsidRPr="00107666">
        <w:rPr>
          <w:rStyle w:val="a5"/>
        </w:rPr>
        <w:footnoteRef/>
      </w:r>
      <w:r w:rsidRPr="00107666">
        <w:t xml:space="preserve"> Распоряжение Правительства Российской Федерации от 6 ноября 2020 г. № 2877-р.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278753"/>
      <w:docPartObj>
        <w:docPartGallery w:val="Page Numbers (Top of Page)"/>
        <w:docPartUnique/>
      </w:docPartObj>
    </w:sdtPr>
    <w:sdtEndPr/>
    <w:sdtContent>
      <w:p w:rsidR="004D52BE" w:rsidRDefault="004D52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2A">
          <w:rPr>
            <w:noProof/>
          </w:rPr>
          <w:t>2</w:t>
        </w:r>
        <w:r>
          <w:fldChar w:fldCharType="end"/>
        </w:r>
      </w:p>
    </w:sdtContent>
  </w:sdt>
  <w:p w:rsidR="004D52BE" w:rsidRDefault="004D52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6598"/>
    <w:multiLevelType w:val="hybridMultilevel"/>
    <w:tmpl w:val="014C243E"/>
    <w:lvl w:ilvl="0" w:tplc="AC7EF3F8">
      <w:start w:val="1"/>
      <w:numFmt w:val="bullet"/>
      <w:suff w:val="space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BE"/>
    <w:rsid w:val="004D52BE"/>
    <w:rsid w:val="005D5688"/>
    <w:rsid w:val="0064042A"/>
    <w:rsid w:val="0077278D"/>
    <w:rsid w:val="00782B09"/>
    <w:rsid w:val="00A8380C"/>
    <w:rsid w:val="00C23744"/>
    <w:rsid w:val="00C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4"/>
    <w:uiPriority w:val="99"/>
    <w:unhideWhenUsed/>
    <w:qFormat/>
    <w:rsid w:val="004D52BE"/>
    <w:pPr>
      <w:spacing w:line="240" w:lineRule="auto"/>
    </w:pPr>
    <w:rPr>
      <w:sz w:val="20"/>
    </w:rPr>
  </w:style>
  <w:style w:type="character" w:customStyle="1" w:styleId="a4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3"/>
    <w:uiPriority w:val="99"/>
    <w:rsid w:val="004D52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4D52BE"/>
    <w:rPr>
      <w:vertAlign w:val="superscript"/>
    </w:rPr>
  </w:style>
  <w:style w:type="paragraph" w:styleId="a6">
    <w:name w:val="List Paragraph"/>
    <w:aliases w:val="ПАРАГРАФ,List Paragraph"/>
    <w:basedOn w:val="a"/>
    <w:link w:val="a7"/>
    <w:uiPriority w:val="34"/>
    <w:qFormat/>
    <w:rsid w:val="004D52BE"/>
    <w:pPr>
      <w:ind w:left="720"/>
      <w:contextualSpacing/>
    </w:p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сноски1"/>
    <w:link w:val="a5"/>
    <w:uiPriority w:val="99"/>
    <w:rsid w:val="004D52BE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rsid w:val="004D5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4D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D52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D52B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4"/>
    <w:uiPriority w:val="99"/>
    <w:unhideWhenUsed/>
    <w:qFormat/>
    <w:rsid w:val="004D52BE"/>
    <w:pPr>
      <w:spacing w:line="240" w:lineRule="auto"/>
    </w:pPr>
    <w:rPr>
      <w:sz w:val="20"/>
    </w:rPr>
  </w:style>
  <w:style w:type="character" w:customStyle="1" w:styleId="a4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3"/>
    <w:uiPriority w:val="99"/>
    <w:rsid w:val="004D52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4D52BE"/>
    <w:rPr>
      <w:vertAlign w:val="superscript"/>
    </w:rPr>
  </w:style>
  <w:style w:type="paragraph" w:styleId="a6">
    <w:name w:val="List Paragraph"/>
    <w:aliases w:val="ПАРАГРАФ,List Paragraph"/>
    <w:basedOn w:val="a"/>
    <w:link w:val="a7"/>
    <w:uiPriority w:val="34"/>
    <w:qFormat/>
    <w:rsid w:val="004D52BE"/>
    <w:pPr>
      <w:ind w:left="720"/>
      <w:contextualSpacing/>
    </w:p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сноски1"/>
    <w:link w:val="a5"/>
    <w:uiPriority w:val="99"/>
    <w:rsid w:val="004D52BE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rsid w:val="004D5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4D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D52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D52B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52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D82B-5BE6-4B04-A9AB-0DD7649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2</cp:revision>
  <dcterms:created xsi:type="dcterms:W3CDTF">2022-10-11T15:11:00Z</dcterms:created>
  <dcterms:modified xsi:type="dcterms:W3CDTF">2022-10-11T15:11:00Z</dcterms:modified>
</cp:coreProperties>
</file>