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1B" w:rsidRDefault="00EA721B" w:rsidP="00EA721B">
      <w:pPr>
        <w:spacing w:line="240" w:lineRule="auto"/>
        <w:jc w:val="right"/>
        <w:rPr>
          <w:rFonts w:eastAsia="Calibri"/>
          <w:sz w:val="24"/>
          <w:szCs w:val="24"/>
        </w:rPr>
      </w:pPr>
      <w:r w:rsidRPr="00A05EDC">
        <w:rPr>
          <w:rFonts w:eastAsia="Calibri"/>
          <w:sz w:val="24"/>
          <w:szCs w:val="24"/>
        </w:rPr>
        <w:t>Приложение №</w:t>
      </w:r>
      <w:r w:rsidR="006B0FCB">
        <w:rPr>
          <w:rFonts w:eastAsia="Calibri"/>
          <w:sz w:val="24"/>
          <w:szCs w:val="24"/>
        </w:rPr>
        <w:t xml:space="preserve"> 1</w:t>
      </w:r>
      <w:r w:rsidR="0043506B">
        <w:rPr>
          <w:rFonts w:eastAsia="Calibri"/>
          <w:sz w:val="24"/>
          <w:szCs w:val="24"/>
        </w:rPr>
        <w:t>4</w:t>
      </w:r>
    </w:p>
    <w:p w:rsidR="00EA721B" w:rsidRPr="00A05EDC" w:rsidRDefault="00EA721B" w:rsidP="00EA721B">
      <w:pPr>
        <w:spacing w:line="240" w:lineRule="auto"/>
        <w:jc w:val="right"/>
        <w:rPr>
          <w:sz w:val="24"/>
          <w:szCs w:val="24"/>
        </w:rPr>
      </w:pPr>
      <w:r w:rsidRPr="00A05EDC">
        <w:rPr>
          <w:sz w:val="24"/>
          <w:szCs w:val="24"/>
        </w:rPr>
        <w:t>к Отчету о результатах</w:t>
      </w:r>
    </w:p>
    <w:p w:rsidR="00EA721B" w:rsidRPr="00A05EDC" w:rsidRDefault="00EA721B" w:rsidP="00EA721B">
      <w:pPr>
        <w:spacing w:line="240" w:lineRule="auto"/>
        <w:jc w:val="right"/>
        <w:rPr>
          <w:sz w:val="24"/>
          <w:szCs w:val="24"/>
        </w:rPr>
      </w:pPr>
      <w:r w:rsidRPr="00A05EDC">
        <w:rPr>
          <w:sz w:val="24"/>
          <w:szCs w:val="24"/>
        </w:rPr>
        <w:t>контрольного мероприятия</w:t>
      </w:r>
    </w:p>
    <w:p w:rsidR="006B0FCB" w:rsidRDefault="006B0FCB" w:rsidP="006B0FCB">
      <w:pPr>
        <w:spacing w:after="120" w:line="240" w:lineRule="auto"/>
        <w:ind w:firstLine="0"/>
        <w:jc w:val="center"/>
        <w:rPr>
          <w:color w:val="000000"/>
          <w:sz w:val="24"/>
          <w:szCs w:val="24"/>
        </w:rPr>
      </w:pPr>
    </w:p>
    <w:p w:rsidR="006B0FCB" w:rsidRPr="006B0FCB" w:rsidRDefault="006B0FCB" w:rsidP="0043506B">
      <w:pPr>
        <w:spacing w:after="120" w:line="240" w:lineRule="auto"/>
        <w:ind w:firstLine="0"/>
        <w:jc w:val="left"/>
        <w:rPr>
          <w:color w:val="000000"/>
          <w:sz w:val="24"/>
          <w:szCs w:val="24"/>
        </w:rPr>
      </w:pPr>
      <w:r w:rsidRPr="006B0FCB">
        <w:rPr>
          <w:color w:val="000000"/>
          <w:sz w:val="24"/>
          <w:szCs w:val="24"/>
        </w:rPr>
        <w:t>Сводная таблица эффективности использования бюджетных средств, направленных на развитие культуры РСО</w:t>
      </w:r>
      <w:r>
        <w:rPr>
          <w:color w:val="000000"/>
          <w:sz w:val="24"/>
          <w:szCs w:val="24"/>
        </w:rPr>
        <w:t> – </w:t>
      </w:r>
      <w:r w:rsidRPr="006B0FCB">
        <w:rPr>
          <w:color w:val="000000"/>
          <w:sz w:val="24"/>
          <w:szCs w:val="24"/>
        </w:rPr>
        <w:t>Алания</w:t>
      </w:r>
      <w:bookmarkStart w:id="0" w:name="_GoBack"/>
      <w:bookmarkEnd w:id="0"/>
    </w:p>
    <w:p w:rsidR="006B0FCB" w:rsidRPr="006B0FCB" w:rsidRDefault="006B0FCB" w:rsidP="006B0FCB">
      <w:pPr>
        <w:spacing w:line="240" w:lineRule="auto"/>
        <w:ind w:firstLine="0"/>
        <w:jc w:val="right"/>
        <w:rPr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5145"/>
      </w:tblGrid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t>1. Критерий аудита эффективности:</w:t>
            </w:r>
            <w:r w:rsidRPr="006B0FCB">
              <w:rPr>
                <w:sz w:val="22"/>
                <w:szCs w:val="22"/>
              </w:rPr>
              <w:t xml:space="preserve"> запланированные при предоставлении бюджетных средств целевые показатели и индикаторы эффективности (результативности) их использования выполнены.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t>достигнуты частично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 xml:space="preserve">В соответствии с отчетами Минкультуры РСО-Алания о достижении значений показателей результативности по исполнению соглашений о предоставлении субсидий, размещенными в </w:t>
            </w:r>
            <w:r w:rsidRPr="006B0FCB">
              <w:rPr>
                <w:spacing w:val="-4"/>
                <w:sz w:val="22"/>
                <w:szCs w:val="22"/>
              </w:rPr>
              <w:t>ГИИС «Электронный бюджет»,</w:t>
            </w:r>
            <w:r w:rsidRPr="006B0FCB">
              <w:rPr>
                <w:sz w:val="22"/>
                <w:szCs w:val="22"/>
              </w:rPr>
              <w:t xml:space="preserve"> запланированные целевые показатели и индикаторы эффективности (результативности) выполнены и достигнуты своевременно.</w:t>
            </w:r>
          </w:p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color w:val="000000"/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Однако по итогам 2020 года ввиду недоделок по объекту «Капитальный ремонт здания ДК с. </w:t>
            </w:r>
            <w:proofErr w:type="spellStart"/>
            <w:r w:rsidRPr="006B0FCB">
              <w:rPr>
                <w:sz w:val="22"/>
                <w:szCs w:val="22"/>
              </w:rPr>
              <w:t>Ногкау</w:t>
            </w:r>
            <w:proofErr w:type="spellEnd"/>
            <w:r w:rsidRPr="006B0FCB">
              <w:rPr>
                <w:sz w:val="22"/>
                <w:szCs w:val="22"/>
              </w:rPr>
              <w:t>» отсутствует возможность его функционирования.</w:t>
            </w:r>
          </w:p>
        </w:tc>
      </w:tr>
      <w:tr w:rsidR="006B0FCB" w:rsidRPr="006B0FCB" w:rsidTr="00A864C8">
        <w:trPr>
          <w:trHeight w:val="1436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sz w:val="22"/>
                <w:szCs w:val="22"/>
              </w:rPr>
            </w:pPr>
            <w:r w:rsidRPr="006B0FCB">
              <w:rPr>
                <w:b/>
                <w:sz w:val="22"/>
                <w:szCs w:val="22"/>
              </w:rPr>
              <w:t>2. Критерий аудита эффективности</w:t>
            </w:r>
            <w:r w:rsidRPr="006B0FCB">
              <w:rPr>
                <w:sz w:val="22"/>
                <w:szCs w:val="22"/>
              </w:rPr>
              <w:t xml:space="preserve">: </w:t>
            </w:r>
            <w:bookmarkStart w:id="1" w:name="_Hlk92656662"/>
            <w:r w:rsidRPr="006B0FCB">
              <w:rPr>
                <w:sz w:val="22"/>
                <w:szCs w:val="22"/>
              </w:rPr>
              <w:t>запланированные целевые показатели и индикаторы эффективности (результативности) достигнуты своевременно</w:t>
            </w:r>
            <w:bookmarkEnd w:id="1"/>
            <w:r w:rsidRPr="006B0FCB">
              <w:rPr>
                <w:sz w:val="22"/>
                <w:szCs w:val="22"/>
              </w:rPr>
              <w:t>.</w:t>
            </w:r>
          </w:p>
        </w:tc>
        <w:tc>
          <w:tcPr>
            <w:tcW w:w="2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sz w:val="22"/>
                <w:szCs w:val="22"/>
              </w:rPr>
            </w:pPr>
          </w:p>
        </w:tc>
      </w:tr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t>3. </w:t>
            </w:r>
            <w:proofErr w:type="gramStart"/>
            <w:r w:rsidRPr="006B0FCB">
              <w:rPr>
                <w:b/>
                <w:bCs/>
                <w:color w:val="000000"/>
                <w:sz w:val="22"/>
                <w:szCs w:val="22"/>
              </w:rPr>
              <w:t xml:space="preserve">Критерий аудита эффективности: </w:t>
            </w:r>
            <w:r w:rsidRPr="006B0FCB">
              <w:rPr>
                <w:sz w:val="22"/>
                <w:szCs w:val="22"/>
              </w:rPr>
              <w:t>неизрасходованные объемы бюджетных средств и иных ресурсов,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 (за исключением объемов, образовавшихся в связи с экономией) в рамках государственных программ Российской Федерации и государственных программ Республики Северная Осетия - Алания, отсутствуют.</w:t>
            </w:r>
            <w:proofErr w:type="gramEnd"/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t>достигнут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color w:val="000000"/>
                <w:sz w:val="22"/>
                <w:szCs w:val="22"/>
              </w:rPr>
            </w:pPr>
            <w:r w:rsidRPr="006B0FCB">
              <w:rPr>
                <w:color w:val="000000"/>
                <w:sz w:val="22"/>
                <w:szCs w:val="22"/>
              </w:rPr>
              <w:t xml:space="preserve">Неизрасходованные </w:t>
            </w:r>
            <w:r w:rsidRPr="006B0FCB">
              <w:rPr>
                <w:sz w:val="22"/>
                <w:szCs w:val="22"/>
              </w:rPr>
              <w:t>объемы бюджетных средств и иных ресурсов, направленных на развитие сферы культуры (за исключением объемов, образовавшихся в связи с экономией), отсутствуют.</w:t>
            </w:r>
          </w:p>
        </w:tc>
      </w:tr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t xml:space="preserve">4. Критерий аудита эффективности: </w:t>
            </w:r>
            <w:r w:rsidRPr="006B0FCB">
              <w:rPr>
                <w:sz w:val="22"/>
                <w:szCs w:val="22"/>
              </w:rPr>
              <w:t>необходимость дополнительных финансовых ресурсов, в том числе для завершения строительства объектов капитального строительства, отсутствует.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t>достигнут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Дополнительные финансовые ресурсы, в том числе на завершение строительства объектов строительства капитального строительства отсутствует.</w:t>
            </w:r>
          </w:p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Вместе с тем анализ данных форм статистического наблюдения</w:t>
            </w:r>
            <w:r w:rsidRPr="006B0FCB">
              <w:rPr>
                <w:sz w:val="22"/>
                <w:szCs w:val="22"/>
                <w:vertAlign w:val="superscript"/>
              </w:rPr>
              <w:footnoteReference w:id="1"/>
            </w:r>
            <w:r w:rsidRPr="006B0FCB">
              <w:rPr>
                <w:sz w:val="22"/>
                <w:szCs w:val="22"/>
                <w:vertAlign w:val="superscript"/>
              </w:rPr>
              <w:t xml:space="preserve"> </w:t>
            </w:r>
            <w:r w:rsidRPr="006B0FCB">
              <w:rPr>
                <w:sz w:val="22"/>
                <w:szCs w:val="22"/>
              </w:rPr>
              <w:t xml:space="preserve">показал, что по состоянию на 1 января 2021 года требуют капитального ремонта или находятся в аварийном состоянии 62% зданий ДШИ, 50,4% зданий КДУ. При этом к 2024 году согласно показателям ГП «Развитие культуры» «Доля зданий учреждений культуры, находящихся в удовлетворительном состоянии, в общем количестве зданий данных учреждений, процентов» должна составить 61,3%, </w:t>
            </w:r>
            <w:proofErr w:type="gramStart"/>
            <w:r w:rsidRPr="006B0FCB">
              <w:rPr>
                <w:sz w:val="22"/>
                <w:szCs w:val="22"/>
              </w:rPr>
              <w:t xml:space="preserve">учитывая количество зданий учреждений культуры требующих ремонта есть риск </w:t>
            </w:r>
            <w:r w:rsidRPr="006B0FCB">
              <w:rPr>
                <w:sz w:val="22"/>
                <w:szCs w:val="22"/>
              </w:rPr>
              <w:br/>
            </w:r>
            <w:proofErr w:type="spellStart"/>
            <w:r w:rsidRPr="006B0FCB">
              <w:rPr>
                <w:sz w:val="22"/>
                <w:szCs w:val="22"/>
              </w:rPr>
              <w:t>недостижения</w:t>
            </w:r>
            <w:proofErr w:type="spellEnd"/>
            <w:proofErr w:type="gramEnd"/>
            <w:r w:rsidRPr="006B0FCB">
              <w:rPr>
                <w:sz w:val="22"/>
                <w:szCs w:val="22"/>
              </w:rPr>
              <w:t xml:space="preserve"> указанного показателя.</w:t>
            </w:r>
          </w:p>
        </w:tc>
      </w:tr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t>5. </w:t>
            </w:r>
            <w:proofErr w:type="gramStart"/>
            <w:r w:rsidRPr="006B0FCB">
              <w:rPr>
                <w:b/>
                <w:bCs/>
                <w:color w:val="000000"/>
                <w:sz w:val="22"/>
                <w:szCs w:val="22"/>
              </w:rPr>
              <w:t xml:space="preserve">Критерий аудита эффективности: </w:t>
            </w:r>
            <w:r w:rsidRPr="006B0FCB">
              <w:rPr>
                <w:sz w:val="22"/>
                <w:szCs w:val="22"/>
              </w:rPr>
              <w:lastRenderedPageBreak/>
              <w:t>увеличение объемов финансовых ресурсов без увеличения плановых значений показателей, характеризующих результаты реализации государственных программ Российской Федерации и государственных программ Республики Северная Осетия - Алания в части мероприятий,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граждан, отсутствует.</w:t>
            </w:r>
            <w:proofErr w:type="gramEnd"/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lastRenderedPageBreak/>
              <w:t>достигнут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color w:val="000000"/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Увеличение объемов финансовых ресурсов без увеличения плановых значений показателей, характеризующих результаты реализации ГП «Развитие культуры» и государственной программы РСО-Алания «Развитие культуры Республики РСО-Алания на 2014-2024 годы»</w:t>
            </w:r>
            <w:proofErr w:type="gramStart"/>
            <w:r w:rsidRPr="006B0FCB">
              <w:rPr>
                <w:sz w:val="22"/>
                <w:szCs w:val="22"/>
              </w:rPr>
              <w:t> ,</w:t>
            </w:r>
            <w:proofErr w:type="gramEnd"/>
            <w:r w:rsidRPr="006B0FCB">
              <w:rPr>
                <w:sz w:val="22"/>
                <w:szCs w:val="22"/>
              </w:rPr>
              <w:t xml:space="preserve"> отсутствует.</w:t>
            </w:r>
          </w:p>
        </w:tc>
      </w:tr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6. Критерий аудита эффективности: </w:t>
            </w:r>
            <w:r w:rsidRPr="006B0FCB">
              <w:rPr>
                <w:sz w:val="22"/>
                <w:szCs w:val="22"/>
              </w:rPr>
              <w:t>построенные (модернизированные, реконструированные) объекты капитального строительства государственной (муниципальной) собственности эксплуатируются по назначению, мощность объектов соответствует проектно-сметной документации.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t>достигнут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color w:val="000000"/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Два КДУ построенных и введенных в эксплуатацию в 2020 - 2021 годах соответствуют проектной мощности и используются по назначению.</w:t>
            </w:r>
          </w:p>
        </w:tc>
      </w:tr>
      <w:tr w:rsidR="006B0FCB" w:rsidRPr="006B0FCB" w:rsidTr="00A864C8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tabs>
                <w:tab w:val="left" w:pos="1620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6B0FCB">
              <w:rPr>
                <w:b/>
                <w:bCs/>
                <w:color w:val="000000"/>
                <w:sz w:val="22"/>
                <w:szCs w:val="22"/>
              </w:rPr>
              <w:t xml:space="preserve">7. Критерий аудита эффективности: </w:t>
            </w:r>
            <w:r w:rsidRPr="006B0FCB">
              <w:rPr>
                <w:sz w:val="22"/>
                <w:szCs w:val="22"/>
              </w:rPr>
              <w:t>объемы и количество объектов незавершенного строительства (за исключением объектов, строительство которых осуществляется в соответствии с графиком производства работ) на территории Республики Северная Осетия - Алания снижены.</w:t>
            </w:r>
          </w:p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FCB">
              <w:rPr>
                <w:b/>
                <w:color w:val="000000"/>
                <w:sz w:val="22"/>
                <w:szCs w:val="22"/>
              </w:rPr>
              <w:t>достигнут</w:t>
            </w:r>
          </w:p>
        </w:tc>
      </w:tr>
      <w:tr w:rsidR="006B0FCB" w:rsidRPr="006B0FCB" w:rsidTr="00A864C8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CB" w:rsidRPr="006B0FCB" w:rsidRDefault="006B0FCB" w:rsidP="006B0FCB">
            <w:pPr>
              <w:spacing w:line="240" w:lineRule="auto"/>
              <w:ind w:left="-113" w:right="-113" w:firstLine="0"/>
              <w:rPr>
                <w:color w:val="000000"/>
                <w:sz w:val="22"/>
                <w:szCs w:val="22"/>
              </w:rPr>
            </w:pPr>
            <w:r w:rsidRPr="006B0FCB">
              <w:rPr>
                <w:sz w:val="22"/>
                <w:szCs w:val="22"/>
              </w:rPr>
              <w:t>Объекты незавершенного строительства, относящееся к ведению Минкультуры РСО-Алания, отсутствуют</w:t>
            </w:r>
          </w:p>
        </w:tc>
      </w:tr>
    </w:tbl>
    <w:p w:rsidR="006B0FCB" w:rsidRPr="006B0FCB" w:rsidRDefault="006B0FCB" w:rsidP="006B0FCB">
      <w:pPr>
        <w:tabs>
          <w:tab w:val="left" w:pos="1620"/>
        </w:tabs>
        <w:spacing w:line="264" w:lineRule="auto"/>
        <w:jc w:val="center"/>
        <w:rPr>
          <w:sz w:val="22"/>
          <w:szCs w:val="22"/>
        </w:rPr>
      </w:pPr>
    </w:p>
    <w:p w:rsidR="006B0FCB" w:rsidRPr="006B0FCB" w:rsidRDefault="006B0FCB" w:rsidP="006B0FCB">
      <w:pPr>
        <w:spacing w:line="300" w:lineRule="auto"/>
        <w:outlineLvl w:val="1"/>
        <w:rPr>
          <w:rFonts w:eastAsia="MS Mincho"/>
          <w:b/>
          <w:szCs w:val="27"/>
        </w:rPr>
      </w:pPr>
    </w:p>
    <w:p w:rsidR="006B0FCB" w:rsidRPr="006B0FCB" w:rsidRDefault="006B0FCB" w:rsidP="006B0FCB">
      <w:pPr>
        <w:spacing w:line="300" w:lineRule="auto"/>
        <w:outlineLvl w:val="1"/>
        <w:rPr>
          <w:rFonts w:eastAsia="MS Mincho"/>
          <w:b/>
          <w:szCs w:val="27"/>
        </w:rPr>
      </w:pPr>
    </w:p>
    <w:p w:rsidR="00C21BBD" w:rsidRDefault="00C21BBD" w:rsidP="0028580B">
      <w:pPr>
        <w:spacing w:line="240" w:lineRule="auto"/>
        <w:jc w:val="center"/>
      </w:pPr>
    </w:p>
    <w:sectPr w:rsidR="00C21BBD" w:rsidSect="006B0FC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11" w:rsidRDefault="003E5B11" w:rsidP="0028580B">
      <w:pPr>
        <w:spacing w:line="240" w:lineRule="auto"/>
      </w:pPr>
      <w:r>
        <w:separator/>
      </w:r>
    </w:p>
  </w:endnote>
  <w:endnote w:type="continuationSeparator" w:id="0">
    <w:p w:rsidR="003E5B11" w:rsidRDefault="003E5B11" w:rsidP="0028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11" w:rsidRDefault="003E5B11" w:rsidP="0028580B">
      <w:pPr>
        <w:spacing w:line="240" w:lineRule="auto"/>
      </w:pPr>
      <w:r>
        <w:separator/>
      </w:r>
    </w:p>
  </w:footnote>
  <w:footnote w:type="continuationSeparator" w:id="0">
    <w:p w:rsidR="003E5B11" w:rsidRDefault="003E5B11" w:rsidP="0028580B">
      <w:pPr>
        <w:spacing w:line="240" w:lineRule="auto"/>
      </w:pPr>
      <w:r>
        <w:continuationSeparator/>
      </w:r>
    </w:p>
  </w:footnote>
  <w:footnote w:id="1">
    <w:p w:rsidR="006B0FCB" w:rsidRPr="00FE529E" w:rsidRDefault="006B0FCB" w:rsidP="006B0FCB">
      <w:pPr>
        <w:tabs>
          <w:tab w:val="left" w:pos="1620"/>
        </w:tabs>
        <w:spacing w:line="240" w:lineRule="auto"/>
        <w:ind w:firstLine="0"/>
      </w:pPr>
      <w:r w:rsidRPr="00FE529E">
        <w:rPr>
          <w:rStyle w:val="a5"/>
          <w:sz w:val="20"/>
        </w:rPr>
        <w:footnoteRef/>
      </w:r>
      <w:r w:rsidRPr="00FE529E">
        <w:rPr>
          <w:sz w:val="20"/>
        </w:rPr>
        <w:t xml:space="preserve"> Форма № 7-НК «Сведения об организации культурно-досугового типа», утверждена приказом Росстата от 4 октября 2019 г. № 577, Форма № 1-ДШИ «Сведения о детской музыкальной, художественной, хореографической школе и школе искусств», утверждена приказом Росстата от 4 апреля 2019 г. № 195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40357"/>
      <w:docPartObj>
        <w:docPartGallery w:val="Page Numbers (Top of Page)"/>
        <w:docPartUnique/>
      </w:docPartObj>
    </w:sdtPr>
    <w:sdtEndPr/>
    <w:sdtContent>
      <w:p w:rsidR="00A91A1A" w:rsidRDefault="00A91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6B">
          <w:rPr>
            <w:noProof/>
          </w:rPr>
          <w:t>2</w:t>
        </w:r>
        <w:r>
          <w:fldChar w:fldCharType="end"/>
        </w:r>
      </w:p>
    </w:sdtContent>
  </w:sdt>
  <w:p w:rsidR="00A91A1A" w:rsidRDefault="00A91A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CB" w:rsidRDefault="006B0FCB">
    <w:pPr>
      <w:pStyle w:val="a8"/>
      <w:jc w:val="center"/>
    </w:pPr>
  </w:p>
  <w:p w:rsidR="006B0FCB" w:rsidRDefault="006B0F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AB6"/>
    <w:multiLevelType w:val="hybridMultilevel"/>
    <w:tmpl w:val="B59E00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363ED4"/>
    <w:multiLevelType w:val="hybridMultilevel"/>
    <w:tmpl w:val="37425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7"/>
    <w:rsid w:val="000F0F11"/>
    <w:rsid w:val="0028580B"/>
    <w:rsid w:val="003E5B11"/>
    <w:rsid w:val="0043506B"/>
    <w:rsid w:val="00515BCC"/>
    <w:rsid w:val="005D0AF7"/>
    <w:rsid w:val="006B0FCB"/>
    <w:rsid w:val="007307B5"/>
    <w:rsid w:val="00755C64"/>
    <w:rsid w:val="008602C6"/>
    <w:rsid w:val="008919F3"/>
    <w:rsid w:val="0089302D"/>
    <w:rsid w:val="009D0810"/>
    <w:rsid w:val="00A210AE"/>
    <w:rsid w:val="00A91A1A"/>
    <w:rsid w:val="00AD6ACE"/>
    <w:rsid w:val="00AF421C"/>
    <w:rsid w:val="00B21096"/>
    <w:rsid w:val="00C21BBD"/>
    <w:rsid w:val="00C6666D"/>
    <w:rsid w:val="00C74BDD"/>
    <w:rsid w:val="00C84EEF"/>
    <w:rsid w:val="00DA3293"/>
    <w:rsid w:val="00EA721B"/>
    <w:rsid w:val="00ED4BA5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4"/>
    <w:uiPriority w:val="99"/>
    <w:unhideWhenUsed/>
    <w:qFormat/>
    <w:rsid w:val="0028580B"/>
    <w:pPr>
      <w:spacing w:line="240" w:lineRule="auto"/>
    </w:pPr>
    <w:rPr>
      <w:sz w:val="20"/>
    </w:rPr>
  </w:style>
  <w:style w:type="character" w:customStyle="1" w:styleId="a4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3"/>
    <w:uiPriority w:val="99"/>
    <w:rsid w:val="00285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8580B"/>
    <w:rPr>
      <w:vertAlign w:val="superscript"/>
    </w:rPr>
  </w:style>
  <w:style w:type="paragraph" w:customStyle="1" w:styleId="1">
    <w:name w:val="Знак сноски1"/>
    <w:link w:val="a5"/>
    <w:uiPriority w:val="99"/>
    <w:rsid w:val="0028580B"/>
    <w:pPr>
      <w:spacing w:after="0" w:line="240" w:lineRule="auto"/>
    </w:pPr>
    <w:rPr>
      <w:vertAlign w:val="superscript"/>
    </w:rPr>
  </w:style>
  <w:style w:type="paragraph" w:styleId="a6">
    <w:name w:val="List Paragraph"/>
    <w:aliases w:val="ПАРАГРАФ,List Paragraph"/>
    <w:basedOn w:val="a"/>
    <w:link w:val="a7"/>
    <w:uiPriority w:val="34"/>
    <w:qFormat/>
    <w:rsid w:val="00C21BBD"/>
    <w:pPr>
      <w:ind w:left="720"/>
      <w:contextualSpacing/>
    </w:p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C21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1A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1A1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A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4"/>
    <w:uiPriority w:val="99"/>
    <w:unhideWhenUsed/>
    <w:qFormat/>
    <w:rsid w:val="0028580B"/>
    <w:pPr>
      <w:spacing w:line="240" w:lineRule="auto"/>
    </w:pPr>
    <w:rPr>
      <w:sz w:val="20"/>
    </w:rPr>
  </w:style>
  <w:style w:type="character" w:customStyle="1" w:styleId="a4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3"/>
    <w:uiPriority w:val="99"/>
    <w:rsid w:val="00285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8580B"/>
    <w:rPr>
      <w:vertAlign w:val="superscript"/>
    </w:rPr>
  </w:style>
  <w:style w:type="paragraph" w:customStyle="1" w:styleId="1">
    <w:name w:val="Знак сноски1"/>
    <w:link w:val="a5"/>
    <w:uiPriority w:val="99"/>
    <w:rsid w:val="0028580B"/>
    <w:pPr>
      <w:spacing w:after="0" w:line="240" w:lineRule="auto"/>
    </w:pPr>
    <w:rPr>
      <w:vertAlign w:val="superscript"/>
    </w:rPr>
  </w:style>
  <w:style w:type="paragraph" w:styleId="a6">
    <w:name w:val="List Paragraph"/>
    <w:aliases w:val="ПАРАГРАФ,List Paragraph"/>
    <w:basedOn w:val="a"/>
    <w:link w:val="a7"/>
    <w:uiPriority w:val="34"/>
    <w:qFormat/>
    <w:rsid w:val="00C21BBD"/>
    <w:pPr>
      <w:ind w:left="720"/>
      <w:contextualSpacing/>
    </w:p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C21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1A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1A1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A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Ж.В.</dc:creator>
  <cp:keywords/>
  <dc:description/>
  <cp:lastModifiedBy>Мещерякова ЖВ</cp:lastModifiedBy>
  <cp:revision>12</cp:revision>
  <dcterms:created xsi:type="dcterms:W3CDTF">2021-12-21T06:21:00Z</dcterms:created>
  <dcterms:modified xsi:type="dcterms:W3CDTF">2022-01-28T10:29:00Z</dcterms:modified>
</cp:coreProperties>
</file>