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ind w:left="10062.99212598425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№ 22</w:t>
        <w:br w:type="textWrapping"/>
        <w:t xml:space="preserve">к Отчету о результатах </w:t>
        <w:br w:type="textWrapping"/>
        <w:t xml:space="preserve">экспертно-аналитического мероприятия</w:t>
      </w:r>
    </w:p>
    <w:p w:rsidR="00000000" w:rsidDel="00000000" w:rsidP="00000000" w:rsidRDefault="00000000" w:rsidRPr="00000000" w14:paraId="00000002">
      <w:pPr>
        <w:widowControl w:val="0"/>
        <w:shd w:fill="ffffff" w:val="clear"/>
        <w:ind w:left="10062.99212598425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«__»________2021 г.</w:t>
      </w:r>
    </w:p>
    <w:p w:rsidR="00000000" w:rsidDel="00000000" w:rsidP="00000000" w:rsidRDefault="00000000" w:rsidRPr="00000000" w14:paraId="00000003">
      <w:pPr>
        <w:widowControl w:val="0"/>
        <w:shd w:fill="ffffff" w:val="clear"/>
        <w:ind w:left="10062.99212598425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№ ОМ-__________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highlight w:val="yellow"/>
        </w:rPr>
      </w:pPr>
      <w:bookmarkStart w:colFirst="0" w:colLast="0" w:name="_heading=h.5nglc13cel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Методологические особенности составления международных рейтингов ведущих университетов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ARWU, QS и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01.999999999998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9"/>
        <w:gridCol w:w="1531"/>
        <w:gridCol w:w="974"/>
        <w:gridCol w:w="1115"/>
        <w:gridCol w:w="873"/>
        <w:gridCol w:w="1904"/>
        <w:gridCol w:w="2793"/>
        <w:gridCol w:w="1532"/>
        <w:gridCol w:w="2071"/>
        <w:gridCol w:w="1320"/>
        <w:tblGridChange w:id="0">
          <w:tblGrid>
            <w:gridCol w:w="989"/>
            <w:gridCol w:w="1531"/>
            <w:gridCol w:w="974"/>
            <w:gridCol w:w="1115"/>
            <w:gridCol w:w="873"/>
            <w:gridCol w:w="1904"/>
            <w:gridCol w:w="2793"/>
            <w:gridCol w:w="1532"/>
            <w:gridCol w:w="2071"/>
            <w:gridCol w:w="1320"/>
          </w:tblGrid>
        </w:tblGridChange>
      </w:tblGrid>
      <w:tr>
        <w:trPr>
          <w:trHeight w:val="685" w:hRule="atLeast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Рейтинг</w:t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Организация</w:t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Год запуска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Кол-во университетов в публикуемой части институционального рейтинга</w:t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Предметные рейтинги (на текущий момент)</w:t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Критерии на входе в рейтинг</w:t>
            </w:r>
          </w:p>
        </w:tc>
        <w:tc>
          <w:tcPr>
            <w:gridSpan w:val="3"/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Индикаторы и веса</w:t>
            </w:r>
          </w:p>
        </w:tc>
      </w:tr>
      <w:tr>
        <w:trPr>
          <w:trHeight w:val="307" w:hRule="atLeast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год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кол-во</w:t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Критерии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Индикаторы / методика расчета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Вес критерия</w:t>
            </w:r>
          </w:p>
        </w:tc>
      </w:tr>
      <w:tr>
        <w:trPr>
          <w:trHeight w:val="919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ARWU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Shanghai Ranking  Consultancy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2003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2003 - 2018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500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54 предмета по 5 областям:</w:t>
              <w:br w:type="textWrapping"/>
              <w:t xml:space="preserve">Естественные науки (6)</w:t>
              <w:br w:type="textWrapping"/>
              <w:t xml:space="preserve">Инженерные науки (22)</w:t>
              <w:br w:type="textWrapping"/>
              <w:t xml:space="preserve">Биологиченские науки (4)</w:t>
              <w:br w:type="textWrapping"/>
              <w:t xml:space="preserve">Медицинские науки (7) </w:t>
              <w:br w:type="textWrapping"/>
              <w:t xml:space="preserve">Социальные науки (14)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1. Наличие преподавателей или выпускников, получивших Нобелевскую премию или медаль Филдса.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2. Наличие высокоцитируемых научных сотрудников или сотрудников, публикующих статьи в научных журналах «Nature» and «Science».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3. К рассмотрению в качестве кандидатов на вхождение в итоговый рейтинг также допускаются университеты с большим количеством научных статей, индексируемых Science Citation Index-Expanded (SCIE) и Social Science</w:t>
              <w:br w:type="textWrapping"/>
              <w:t xml:space="preserve">Citation Index (SSCI).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1. Выпускники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Количество выпускников учреждения, ставших лауреатами Нобелевской премии или медали Филдса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10%</w:t>
            </w:r>
          </w:p>
        </w:tc>
      </w:tr>
      <w:tr>
        <w:trPr>
          <w:trHeight w:val="61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2. Публикации в журналах Nature и Science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Количество статей, опубликованных в журналах Nature и Science, за последние пять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20%</w:t>
            </w:r>
          </w:p>
        </w:tc>
      </w:tr>
      <w:tr>
        <w:trPr>
          <w:trHeight w:val="61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3. Научные премии и награды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Количество сотрудников учреждения, ставших лауреатами Нобелевской премии или медали Филдса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20%</w:t>
            </w:r>
          </w:p>
        </w:tc>
      </w:tr>
      <w:tr>
        <w:trPr>
          <w:trHeight w:val="459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2019 - 2020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1000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4. Высокоцитируемые исследователи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Количество высокоцитируемых исследоватей (на основе данных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Clarivate Analytics)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20%</w:t>
            </w:r>
          </w:p>
        </w:tc>
      </w:tr>
      <w:tr>
        <w:trPr>
          <w:trHeight w:val="919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5. Результаты исследований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Количество статей, проиндексированных в Science Citation Index-Expanded (SCIE) и Social Science</w:t>
              <w:br w:type="textWrapping"/>
              <w:t xml:space="preserve">Citation Index (SSCI), за отчетный год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20%</w:t>
            </w:r>
          </w:p>
        </w:tc>
      </w:tr>
      <w:tr>
        <w:trPr>
          <w:trHeight w:val="61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6. Комплексный взвешенный показатель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Отношение взвешенных значений всех пяти индикаторов к численности ППС (эквивалент полной занятости)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10%</w:t>
            </w:r>
          </w:p>
        </w:tc>
      </w:tr>
      <w:tr>
        <w:trPr>
          <w:trHeight w:val="1232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QS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Quacquarelli Symonds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2010 (до этого - совместный рейтинг THE-QS)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2010-2014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500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51 предметный рейтинг в 5 областях:</w:t>
              <w:br w:type="textWrapping"/>
              <w:t xml:space="preserve">Искусство и гуманитарные науки (11)</w:t>
              <w:br w:type="textWrapping"/>
              <w:t xml:space="preserve">Инженерные технологии (7)</w:t>
              <w:br w:type="textWrapping"/>
              <w:t xml:space="preserve">Науки о жизни и медицина (9)</w:t>
              <w:br w:type="textWrapping"/>
              <w:t xml:space="preserve">Естественные науки (9)</w:t>
              <w:br w:type="textWrapping"/>
              <w:t xml:space="preserve">Социальные науки и менеджмент (15)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Отсутствуют (подача заявки)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 Репутация среди академического сообщества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Результаты опроса о качестве преподавания и исследований в университетах мира (участники - более 100 000 экспертов в области высшего образования)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40%</w:t>
            </w:r>
          </w:p>
        </w:tc>
      </w:tr>
      <w:tr>
        <w:trPr>
          <w:trHeight w:val="61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2015-2016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700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 Репутация среди работодателей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Результаты опроса о качестве подготовки выпускников в университетах мира (участники - около 50 000 работодателей)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10%</w:t>
            </w:r>
          </w:p>
        </w:tc>
      </w:tr>
      <w:tr>
        <w:trPr>
          <w:trHeight w:val="61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915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 Соотношение преподавателей/студентов (качество перподавания)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Cоотношение преподавателей и студентов наиболее эффективный косвенный показатель качества преподавания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20%</w:t>
            </w:r>
          </w:p>
        </w:tc>
      </w:tr>
      <w:tr>
        <w:trPr>
          <w:trHeight w:val="459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2018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958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 Соотношение индекса ци-</w:t>
              <w:br w:type="textWrapping"/>
              <w:t xml:space="preserve">тирования и числа препо-</w:t>
              <w:br w:type="textWrapping"/>
              <w:t xml:space="preserve">давателей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 основании информации, содержащейся в базе данных Elservier Scopus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20%</w:t>
            </w:r>
          </w:p>
        </w:tc>
      </w:tr>
      <w:tr>
        <w:trPr>
          <w:trHeight w:val="307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2019-2021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1000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 Доля иностранных преподавателей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5%</w:t>
            </w:r>
          </w:p>
        </w:tc>
      </w:tr>
      <w:tr>
        <w:trPr>
          <w:trHeight w:val="307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6. Доля иностранных студентов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5%</w:t>
            </w:r>
          </w:p>
        </w:tc>
      </w:tr>
      <w:tr>
        <w:trPr>
          <w:trHeight w:val="213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THE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Times Higher Education magazine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200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 предметных областей: </w:t>
              <w:br w:type="textWrapping"/>
              <w:t xml:space="preserve">Искусство и гуманитарные науки</w:t>
              <w:br w:type="textWrapping"/>
              <w:t xml:space="preserve">Бизнес и экономика</w:t>
              <w:br w:type="textWrapping"/>
              <w:t xml:space="preserve">Медицина</w:t>
              <w:br w:type="textWrapping"/>
              <w:t xml:space="preserve">Информационные технологии</w:t>
              <w:br w:type="textWrapping"/>
              <w:t xml:space="preserve">Образование</w:t>
              <w:br w:type="textWrapping"/>
              <w:t xml:space="preserve">Инженерные технологии</w:t>
              <w:br w:type="textWrapping"/>
              <w:t xml:space="preserve">Физические науки</w:t>
              <w:br w:type="textWrapping"/>
              <w:t xml:space="preserve">Психология</w:t>
              <w:br w:type="textWrapping"/>
              <w:t xml:space="preserve">Естественные науки</w:t>
              <w:br w:type="textWrapping"/>
              <w:t xml:space="preserve">Право</w:t>
              <w:br w:type="textWrapping"/>
              <w:t xml:space="preserve">Социальные науки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1. Публикационная активность: более 1000 научных публикаций за последние пять лет и не менее 150 научных публикаций ежегодно 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2. Наличие программ для бакалавров 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3. Широкий научный профиль университета (в рейтинге не могут принимать участие университеты, у которых более 80% публикаций приходится на одну предметную область) 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4. Наличие всей информации для расчета итогового рейтингового показателя 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5. Значения не более, чем двух ключевых индикаторов для расчета показателей (численность ППС, численность иностранного ППС, численность научных работников, численность студентов, численность иностранных студентов, численность выпускников-бакалавров, численность выпускников-докторантов, институциональных доход, доход от научной деятельности, доход, полученный от промышленных и коммерческих предприятий) равны улю или не предоставлены.   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6. Предоставление информации для включения университета как минимум в один из предметных рейтингов.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7. Университет не фигурирует в стоп-листе (custom exclusions list)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1.Образовательный процесс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Репутация университета (в части образования)</w:t>
              <w:br w:type="textWrapping"/>
              <w:t xml:space="preserve">Соотношение численности ППС и количества студентов</w:t>
              <w:br w:type="textWrapping"/>
              <w:t xml:space="preserve">Соотношение количества выпускников-докторантов и количества выпускников-бакалавров </w:t>
              <w:br w:type="textWrapping"/>
              <w:t xml:space="preserve">Соотношение количества сотрудников с докторскими степенями и численности ППС</w:t>
              <w:br w:type="textWrapping"/>
              <w:t xml:space="preserve">Соотношение объема институционального дохода и численности ППС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30%</w:t>
            </w:r>
          </w:p>
        </w:tc>
      </w:tr>
      <w:tr>
        <w:trPr>
          <w:trHeight w:val="1068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2012-2015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400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2. Исследования (объем, доход и репутация)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Репутация университета (в части научной/исследовательской деятельности) </w:t>
              <w:br w:type="textWrapping"/>
              <w:t xml:space="preserve">Соотношение дохода от исследований и численности ППС</w:t>
              <w:br w:type="textWrapping"/>
              <w:t xml:space="preserve">Соотношение количества публикаций и чесленности ППС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30%</w:t>
            </w:r>
          </w:p>
        </w:tc>
      </w:tr>
      <w:tr>
        <w:trPr>
          <w:trHeight w:val="307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800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3. Цитируемость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Взвешенный по области знания показатель цитируемости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30%</w:t>
            </w:r>
          </w:p>
        </w:tc>
      </w:tr>
      <w:tr>
        <w:trPr>
          <w:trHeight w:val="1218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2017-2021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1000*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4. Интернационализация (сотрудники, студенты и исследования)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Доля иностранных студентов</w:t>
              <w:br w:type="textWrapping"/>
              <w:t xml:space="preserve">Доля иностранцев в численности ППС </w:t>
              <w:br w:type="textWrapping"/>
              <w:t xml:space="preserve">Доля статей, написанных в соавторстве с иностранными исследователями, в общем численаучных публикаций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7,50%</w:t>
            </w:r>
          </w:p>
        </w:tc>
      </w:tr>
      <w:tr>
        <w:trPr>
          <w:trHeight w:val="61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5. Доход от инноваций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Соотношение дохода, полученного от промышленных и коммерческих предприятий, и численности ППС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F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2,50%</w:t>
            </w:r>
          </w:p>
        </w:tc>
      </w:tr>
      <w:tr>
        <w:trPr>
          <w:trHeight w:val="598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*C 2018 года в рейтингt THE также введена категория университетов с местом 1000+</w:t>
      </w:r>
      <w:r w:rsidDel="00000000" w:rsidR="00000000" w:rsidRPr="00000000">
        <w:rPr>
          <w:rtl w:val="0"/>
        </w:rPr>
      </w:r>
    </w:p>
    <w:sectPr>
      <w:pgSz w:h="11900" w:w="16840" w:orient="landscape"/>
      <w:pgMar w:bottom="850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C714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6X/OnqclrzOrKLGHrJCScyjL0A==">AMUW2mWpnpDmMnO+y21Agv6ltdpwgOAERlDbSQu6LIQ2HhGp8ZBktIH2wQDRkuBwhiN9lQd6IDCQ1X5mV4OQQ3vJvv9pEAqt9utoY0xqvDJ8WRYxAgg7LI2qdySx8hyPzgGX/POZmDog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2020-11-26T10:04:00Z</dcterms:created>
  <dc:creator>Анна Кузьмина</dc:creator>
</cp:coreProperties>
</file>