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67" w:rsidRDefault="000E5667" w:rsidP="000E5667">
      <w:pPr>
        <w:spacing w:line="240" w:lineRule="auto"/>
        <w:jc w:val="right"/>
        <w:rPr>
          <w:rFonts w:eastAsia="Calibri"/>
          <w:sz w:val="24"/>
          <w:szCs w:val="24"/>
        </w:rPr>
      </w:pPr>
      <w:r w:rsidRPr="00A05EDC">
        <w:rPr>
          <w:rFonts w:eastAsia="Calibri"/>
          <w:sz w:val="24"/>
          <w:szCs w:val="24"/>
        </w:rPr>
        <w:t>Приложение №</w:t>
      </w:r>
      <w:r>
        <w:rPr>
          <w:rFonts w:eastAsia="Calibri"/>
          <w:sz w:val="24"/>
          <w:szCs w:val="24"/>
        </w:rPr>
        <w:t xml:space="preserve"> 1</w:t>
      </w:r>
      <w:r w:rsidR="00B7658F">
        <w:rPr>
          <w:rFonts w:eastAsia="Calibri"/>
          <w:sz w:val="24"/>
          <w:szCs w:val="24"/>
        </w:rPr>
        <w:t>6</w:t>
      </w:r>
    </w:p>
    <w:p w:rsidR="000E5667" w:rsidRPr="00A05EDC" w:rsidRDefault="000E5667" w:rsidP="000E5667">
      <w:pPr>
        <w:spacing w:line="240" w:lineRule="auto"/>
        <w:jc w:val="right"/>
        <w:rPr>
          <w:sz w:val="24"/>
          <w:szCs w:val="24"/>
        </w:rPr>
      </w:pPr>
      <w:r w:rsidRPr="00A05EDC">
        <w:rPr>
          <w:sz w:val="24"/>
          <w:szCs w:val="24"/>
        </w:rPr>
        <w:t>к Отчету о результатах</w:t>
      </w:r>
    </w:p>
    <w:p w:rsidR="000E5667" w:rsidRDefault="000E5667" w:rsidP="000E5667">
      <w:pPr>
        <w:jc w:val="right"/>
        <w:rPr>
          <w:color w:val="000000"/>
          <w:szCs w:val="28"/>
        </w:rPr>
      </w:pPr>
      <w:r w:rsidRPr="00A05EDC">
        <w:rPr>
          <w:sz w:val="24"/>
          <w:szCs w:val="24"/>
        </w:rPr>
        <w:t>контрольного мероприятия</w:t>
      </w:r>
    </w:p>
    <w:p w:rsidR="000E5667" w:rsidRDefault="000E5667" w:rsidP="00B7658F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bookmarkStart w:id="0" w:name="_GoBack"/>
      <w:r w:rsidRPr="000E5667">
        <w:rPr>
          <w:color w:val="000000"/>
          <w:sz w:val="24"/>
          <w:szCs w:val="24"/>
        </w:rPr>
        <w:t>Сводная таблица эффективности использования бюджетных средств, направленных на дор</w:t>
      </w:r>
      <w:r>
        <w:rPr>
          <w:color w:val="000000"/>
          <w:sz w:val="24"/>
          <w:szCs w:val="24"/>
        </w:rPr>
        <w:t>ожную деятельность РСО – Алания</w:t>
      </w:r>
    </w:p>
    <w:p w:rsidR="000E5667" w:rsidRPr="00D1664C" w:rsidRDefault="000E5667" w:rsidP="00B7658F">
      <w:pPr>
        <w:spacing w:line="240" w:lineRule="auto"/>
        <w:ind w:firstLine="0"/>
        <w:jc w:val="left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5145"/>
      </w:tblGrid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t>1. Критерий аудита эффективности:</w:t>
            </w:r>
            <w:r w:rsidRPr="00420B18">
              <w:rPr>
                <w:sz w:val="16"/>
                <w:szCs w:val="16"/>
              </w:rPr>
              <w:t xml:space="preserve"> </w:t>
            </w:r>
            <w:r w:rsidR="00894612" w:rsidRPr="00894612">
              <w:rPr>
                <w:sz w:val="16"/>
                <w:szCs w:val="16"/>
              </w:rPr>
              <w:t>запланированные при предоставлении бюджетных средств целевые показатели и индикаторы эффективности (результативности) их использования выполнены</w:t>
            </w:r>
            <w:r w:rsidR="00894612">
              <w:rPr>
                <w:sz w:val="16"/>
                <w:szCs w:val="16"/>
              </w:rPr>
              <w:t>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894612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не </w:t>
            </w:r>
            <w:r w:rsidR="00DE65C7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694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612" w:rsidRDefault="00894612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proofErr w:type="gramStart"/>
            <w:r w:rsidRPr="00894612">
              <w:rPr>
                <w:sz w:val="16"/>
                <w:szCs w:val="16"/>
              </w:rPr>
              <w:t xml:space="preserve">В соответствии с отчетами </w:t>
            </w:r>
            <w:r w:rsidR="00945B27">
              <w:rPr>
                <w:sz w:val="16"/>
                <w:szCs w:val="16"/>
              </w:rPr>
              <w:t xml:space="preserve">Комитета дорожного хозяйства </w:t>
            </w:r>
            <w:r w:rsidRPr="00894612">
              <w:rPr>
                <w:sz w:val="16"/>
                <w:szCs w:val="16"/>
              </w:rPr>
              <w:t>РСО</w:t>
            </w:r>
            <w:r w:rsidR="00945B27">
              <w:rPr>
                <w:sz w:val="16"/>
                <w:szCs w:val="16"/>
              </w:rPr>
              <w:t xml:space="preserve"> – </w:t>
            </w:r>
            <w:r w:rsidRPr="00894612">
              <w:rPr>
                <w:sz w:val="16"/>
                <w:szCs w:val="16"/>
              </w:rPr>
              <w:t xml:space="preserve">Алания о достижении значений показателей результативности по исполнению соглашений о предоставлении </w:t>
            </w:r>
            <w:r w:rsidR="00945B27" w:rsidRPr="00945B27">
              <w:rPr>
                <w:sz w:val="16"/>
                <w:szCs w:val="16"/>
              </w:rPr>
              <w:t>иных межбюджетных трансфертов и субсидий из федерального бюджета</w:t>
            </w:r>
            <w:r w:rsidRPr="00894612">
              <w:rPr>
                <w:sz w:val="16"/>
                <w:szCs w:val="16"/>
              </w:rPr>
              <w:t xml:space="preserve">, размещенными в ГИИС «Электронный бюджет», </w:t>
            </w:r>
            <w:r w:rsidR="00945B27" w:rsidRPr="00894612">
              <w:rPr>
                <w:sz w:val="16"/>
                <w:szCs w:val="16"/>
              </w:rPr>
              <w:t xml:space="preserve">в 2019 – 2020 </w:t>
            </w:r>
            <w:r w:rsidR="00945B27">
              <w:rPr>
                <w:sz w:val="16"/>
                <w:szCs w:val="16"/>
              </w:rPr>
              <w:t xml:space="preserve">годах </w:t>
            </w:r>
            <w:r w:rsidRPr="00894612">
              <w:rPr>
                <w:sz w:val="16"/>
                <w:szCs w:val="16"/>
              </w:rPr>
              <w:t xml:space="preserve">запланированные целевые показатели и индикаторы эффективности (результативности) </w:t>
            </w:r>
            <w:r w:rsidR="00945B27">
              <w:rPr>
                <w:sz w:val="16"/>
                <w:szCs w:val="16"/>
              </w:rPr>
              <w:t xml:space="preserve">в рамках государственных программ </w:t>
            </w:r>
            <w:r w:rsidRPr="00894612">
              <w:rPr>
                <w:sz w:val="16"/>
                <w:szCs w:val="16"/>
              </w:rPr>
              <w:t>Российской Федерации «Развитие транспортной системы» (ГП-24), «Государственная программа развития сельского хозяйства и регулирования</w:t>
            </w:r>
            <w:proofErr w:type="gramEnd"/>
            <w:r w:rsidRPr="00894612">
              <w:rPr>
                <w:sz w:val="16"/>
                <w:szCs w:val="16"/>
              </w:rPr>
              <w:t xml:space="preserve"> рынков сельскохозяйственной продукции, сырья и продовольствия на 2013 – 2020 годы» (ГП-25), «Комплексное развитие сельских территорий» (ГП-48)</w:t>
            </w:r>
            <w:r w:rsidR="00945B27">
              <w:rPr>
                <w:sz w:val="16"/>
                <w:szCs w:val="16"/>
              </w:rPr>
              <w:t xml:space="preserve"> </w:t>
            </w:r>
            <w:r w:rsidR="00945B27" w:rsidRPr="00894612">
              <w:rPr>
                <w:sz w:val="16"/>
                <w:szCs w:val="16"/>
              </w:rPr>
              <w:t xml:space="preserve">не </w:t>
            </w:r>
            <w:r w:rsidR="00945B27">
              <w:rPr>
                <w:sz w:val="16"/>
                <w:szCs w:val="16"/>
              </w:rPr>
              <w:t>достигнуты:</w:t>
            </w:r>
          </w:p>
          <w:p w:rsidR="00945B27" w:rsidRDefault="00945B27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«</w:t>
            </w:r>
            <w:r w:rsidRPr="00945B27">
              <w:rPr>
                <w:sz w:val="16"/>
                <w:szCs w:val="1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продукции, (километр, тысяча метров)</w:t>
            </w:r>
            <w:r>
              <w:rPr>
                <w:sz w:val="16"/>
                <w:szCs w:val="16"/>
              </w:rPr>
              <w:t>» (в 2019 году</w:t>
            </w:r>
            <w:r w:rsidR="00514A10">
              <w:rPr>
                <w:sz w:val="16"/>
                <w:szCs w:val="16"/>
              </w:rPr>
              <w:t xml:space="preserve"> 0 км при </w:t>
            </w:r>
            <w:r>
              <w:rPr>
                <w:sz w:val="16"/>
                <w:szCs w:val="16"/>
              </w:rPr>
              <w:t>план</w:t>
            </w:r>
            <w:r w:rsidR="00514A10">
              <w:rPr>
                <w:sz w:val="16"/>
                <w:szCs w:val="16"/>
              </w:rPr>
              <w:t xml:space="preserve">е </w:t>
            </w:r>
            <w:r w:rsidRPr="00945B27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 xml:space="preserve"> км, в 2020 году</w:t>
            </w:r>
            <w:r w:rsidR="00514A10">
              <w:rPr>
                <w:sz w:val="16"/>
                <w:szCs w:val="16"/>
              </w:rPr>
              <w:t xml:space="preserve"> 0 км при плане </w:t>
            </w:r>
            <w:r w:rsidRPr="00945B27">
              <w:rPr>
                <w:sz w:val="16"/>
                <w:szCs w:val="16"/>
              </w:rPr>
              <w:t>3,026</w:t>
            </w:r>
            <w:r>
              <w:rPr>
                <w:sz w:val="16"/>
                <w:szCs w:val="16"/>
              </w:rPr>
              <w:t xml:space="preserve"> км);</w:t>
            </w:r>
            <w:proofErr w:type="gramEnd"/>
          </w:p>
          <w:p w:rsidR="00945B27" w:rsidRDefault="00514A10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14A10">
              <w:rPr>
                <w:sz w:val="16"/>
                <w:szCs w:val="16"/>
              </w:rPr>
              <w:t>Прирост протяженности сети автомобильных дорог общего пользования регионального или межмуниципального, местного значения на территории субъекта Российской Федерации в результате строительства новых автомобильных дорог (километр, тысяча метров)</w:t>
            </w:r>
            <w:r>
              <w:rPr>
                <w:sz w:val="16"/>
                <w:szCs w:val="16"/>
              </w:rPr>
              <w:t>» (в 2020 году 0 км</w:t>
            </w:r>
            <w:r w:rsidRPr="00514A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при плане </w:t>
            </w:r>
            <w:r w:rsidRPr="00514A10">
              <w:rPr>
                <w:sz w:val="16"/>
                <w:szCs w:val="16"/>
              </w:rPr>
              <w:t>0,05</w:t>
            </w:r>
            <w:r>
              <w:rPr>
                <w:sz w:val="16"/>
                <w:szCs w:val="16"/>
              </w:rPr>
              <w:t xml:space="preserve"> км);</w:t>
            </w:r>
          </w:p>
          <w:p w:rsidR="00514A10" w:rsidRDefault="00514A10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14A10">
              <w:rPr>
                <w:sz w:val="16"/>
                <w:szCs w:val="16"/>
              </w:rPr>
              <w:t>Прирост протяженности автомобильных дорог общего пользования регионального или межмуниципального,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(километр, тысяча метров)</w:t>
            </w:r>
            <w:r>
              <w:rPr>
                <w:sz w:val="16"/>
                <w:szCs w:val="16"/>
              </w:rPr>
              <w:t xml:space="preserve">» (в 2020 году 0 км при плане </w:t>
            </w:r>
            <w:r w:rsidRPr="00514A10">
              <w:rPr>
                <w:sz w:val="16"/>
                <w:szCs w:val="16"/>
              </w:rPr>
              <w:t>60,76</w:t>
            </w:r>
            <w:r>
              <w:rPr>
                <w:sz w:val="16"/>
                <w:szCs w:val="16"/>
              </w:rPr>
              <w:t xml:space="preserve"> км);</w:t>
            </w:r>
          </w:p>
          <w:p w:rsidR="00514A10" w:rsidRDefault="00514A10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14A10">
              <w:rPr>
                <w:sz w:val="16"/>
                <w:szCs w:val="16"/>
              </w:rPr>
              <w:t>Осуществлена реконструкция автомобильной дороги регионального или межмуниципального, местного значения</w:t>
            </w:r>
            <w:r>
              <w:rPr>
                <w:sz w:val="16"/>
                <w:szCs w:val="16"/>
              </w:rPr>
              <w:t xml:space="preserve"> </w:t>
            </w:r>
            <w:r w:rsidRPr="00514A10">
              <w:rPr>
                <w:sz w:val="16"/>
                <w:szCs w:val="16"/>
              </w:rPr>
              <w:t>(километр, тысяча метров)</w:t>
            </w:r>
            <w:r>
              <w:rPr>
                <w:sz w:val="16"/>
                <w:szCs w:val="16"/>
              </w:rPr>
              <w:t xml:space="preserve">» (в 2020 году 0 км при плане </w:t>
            </w:r>
            <w:r w:rsidRPr="00514A10">
              <w:rPr>
                <w:sz w:val="16"/>
                <w:szCs w:val="16"/>
              </w:rPr>
              <w:t>57,73</w:t>
            </w:r>
            <w:r>
              <w:rPr>
                <w:sz w:val="16"/>
                <w:szCs w:val="16"/>
              </w:rPr>
              <w:t xml:space="preserve"> км);</w:t>
            </w:r>
          </w:p>
          <w:p w:rsidR="00514A10" w:rsidRDefault="00514A10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14A10">
              <w:rPr>
                <w:sz w:val="16"/>
                <w:szCs w:val="16"/>
              </w:rPr>
              <w:t>Прирост протяженности автомобильных дорог общего пользования регионального или межмуниципального,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(километр, тысяча метров)</w:t>
            </w:r>
            <w:r>
              <w:rPr>
                <w:sz w:val="16"/>
                <w:szCs w:val="16"/>
              </w:rPr>
              <w:t xml:space="preserve">» (в 2020 году 0 км при плане </w:t>
            </w:r>
            <w:r w:rsidRPr="00514A10">
              <w:rPr>
                <w:sz w:val="16"/>
                <w:szCs w:val="16"/>
              </w:rPr>
              <w:t>61,86</w:t>
            </w:r>
            <w:r>
              <w:rPr>
                <w:sz w:val="16"/>
                <w:szCs w:val="16"/>
              </w:rPr>
              <w:t xml:space="preserve"> км);</w:t>
            </w:r>
          </w:p>
          <w:p w:rsidR="00514A10" w:rsidRDefault="00514A10" w:rsidP="00894612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14A10">
              <w:rPr>
                <w:sz w:val="16"/>
                <w:szCs w:val="16"/>
              </w:rPr>
              <w:t>Прирост протяженности сети автомобильных дорог общего пользования регионального или межмуниципального, местного значения на территории субъекта Российской Федерации в результате строительства новых автомобильных дорог (километр, тысяча метров)</w:t>
            </w:r>
            <w:r>
              <w:rPr>
                <w:sz w:val="16"/>
                <w:szCs w:val="16"/>
              </w:rPr>
              <w:t>» (в 2020 году 0 км при плане 1,2 км).</w:t>
            </w:r>
          </w:p>
          <w:p w:rsidR="00514A10" w:rsidRPr="00514A10" w:rsidRDefault="00514A10" w:rsidP="00514A10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514A10">
              <w:rPr>
                <w:sz w:val="16"/>
                <w:szCs w:val="16"/>
              </w:rPr>
              <w:t>Указанные показатели не достигнуты в связи с несвоевременным вводом в эксплуатацию следующих объектов:</w:t>
            </w:r>
          </w:p>
          <w:p w:rsidR="00514A10" w:rsidRPr="00514A10" w:rsidRDefault="00514A10" w:rsidP="00514A10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514A10">
              <w:rPr>
                <w:sz w:val="16"/>
                <w:szCs w:val="16"/>
              </w:rPr>
              <w:t xml:space="preserve">в 2019 году – «Реконструкция автомобильной дороги «Подъезд к СПК «Ардон» и «Реконструкция автомобильной дороги от автодороги </w:t>
            </w:r>
          </w:p>
          <w:p w:rsidR="00514A10" w:rsidRPr="00514A10" w:rsidRDefault="00514A10" w:rsidP="00514A10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514A10">
              <w:rPr>
                <w:sz w:val="16"/>
                <w:szCs w:val="16"/>
              </w:rPr>
              <w:t>«Владикавказ – Ардон – Чикола – Лескен 2» к МТФ СПК «Аннушка» (1</w:t>
            </w:r>
            <w:r>
              <w:rPr>
                <w:sz w:val="16"/>
                <w:szCs w:val="16"/>
              </w:rPr>
              <w:t> </w:t>
            </w:r>
            <w:r w:rsidRPr="00514A10">
              <w:rPr>
                <w:sz w:val="16"/>
                <w:szCs w:val="16"/>
              </w:rPr>
              <w:t>этап)»;</w:t>
            </w:r>
          </w:p>
          <w:p w:rsidR="00205B02" w:rsidRPr="00420B18" w:rsidRDefault="00514A10" w:rsidP="00514A10">
            <w:pPr>
              <w:spacing w:line="240" w:lineRule="auto"/>
              <w:ind w:left="-31" w:right="-1" w:firstLine="0"/>
              <w:rPr>
                <w:color w:val="000000"/>
                <w:sz w:val="16"/>
                <w:szCs w:val="16"/>
              </w:rPr>
            </w:pPr>
            <w:proofErr w:type="gramStart"/>
            <w:r w:rsidRPr="00514A10">
              <w:rPr>
                <w:sz w:val="16"/>
                <w:szCs w:val="16"/>
              </w:rPr>
              <w:t xml:space="preserve">в 2020 году – «Реконструкция автомобильной дороги от федеральной автомобильной дороги Р-217 «Кавказ» к рыбному хозяйству», «Строительство автомобильной дороги от федеральной автомобильной дороги Р-217 «Кавказ» к ферме «Колхоз им. Генерала Плиева», «Строительство автомобильной дороги от автомобильной дороги Архонская – БМК – Хумалаг – «Кавказ» к КФХ и к птицеферме», «Строительство автомобильной дороги «Кавказ» – </w:t>
            </w:r>
            <w:proofErr w:type="spellStart"/>
            <w:r w:rsidRPr="00514A10">
              <w:rPr>
                <w:sz w:val="16"/>
                <w:szCs w:val="16"/>
              </w:rPr>
              <w:t>Хурикау</w:t>
            </w:r>
            <w:proofErr w:type="spellEnd"/>
            <w:r w:rsidRPr="00514A10">
              <w:rPr>
                <w:sz w:val="16"/>
                <w:szCs w:val="16"/>
              </w:rPr>
              <w:t xml:space="preserve"> – </w:t>
            </w:r>
            <w:proofErr w:type="spellStart"/>
            <w:r w:rsidRPr="00514A10">
              <w:rPr>
                <w:sz w:val="16"/>
                <w:szCs w:val="16"/>
              </w:rPr>
              <w:t>Малгобек</w:t>
            </w:r>
            <w:proofErr w:type="spellEnd"/>
            <w:r w:rsidRPr="00514A10">
              <w:rPr>
                <w:sz w:val="16"/>
                <w:szCs w:val="16"/>
              </w:rPr>
              <w:t xml:space="preserve"> – Моздок, км 0,0 – км 61,6», «Реконструкция автомобильной дороги по</w:t>
            </w:r>
            <w:proofErr w:type="gramEnd"/>
            <w:r w:rsidRPr="00514A10">
              <w:rPr>
                <w:sz w:val="16"/>
                <w:szCs w:val="16"/>
              </w:rPr>
              <w:t xml:space="preserve"> ул. Весенняя (от ул. </w:t>
            </w:r>
            <w:proofErr w:type="spellStart"/>
            <w:r w:rsidRPr="00514A10">
              <w:rPr>
                <w:sz w:val="16"/>
                <w:szCs w:val="16"/>
              </w:rPr>
              <w:t>Цоколаева</w:t>
            </w:r>
            <w:proofErr w:type="spellEnd"/>
            <w:r w:rsidRPr="00514A10">
              <w:rPr>
                <w:sz w:val="16"/>
                <w:szCs w:val="16"/>
              </w:rPr>
              <w:t xml:space="preserve"> до ул. Ген. </w:t>
            </w:r>
            <w:proofErr w:type="spellStart"/>
            <w:r w:rsidRPr="00514A10">
              <w:rPr>
                <w:sz w:val="16"/>
                <w:szCs w:val="16"/>
              </w:rPr>
              <w:t>Дзусова</w:t>
            </w:r>
            <w:proofErr w:type="spellEnd"/>
            <w:r w:rsidRPr="00514A10">
              <w:rPr>
                <w:sz w:val="16"/>
                <w:szCs w:val="16"/>
              </w:rPr>
              <w:t>», участка автомобильной дороги «Владикавказ – Ардон – Чикола – Лескен II» (</w:t>
            </w:r>
            <w:proofErr w:type="spellStart"/>
            <w:r w:rsidRPr="00514A10">
              <w:rPr>
                <w:sz w:val="16"/>
                <w:szCs w:val="16"/>
              </w:rPr>
              <w:t>Обьезд</w:t>
            </w:r>
            <w:proofErr w:type="spellEnd"/>
            <w:r w:rsidRPr="00514A10">
              <w:rPr>
                <w:sz w:val="16"/>
                <w:szCs w:val="16"/>
              </w:rPr>
              <w:t xml:space="preserve"> с. </w:t>
            </w:r>
            <w:proofErr w:type="spellStart"/>
            <w:r w:rsidRPr="00514A10">
              <w:rPr>
                <w:sz w:val="16"/>
                <w:szCs w:val="16"/>
              </w:rPr>
              <w:t>Мичурино</w:t>
            </w:r>
            <w:proofErr w:type="spellEnd"/>
            <w:r w:rsidRPr="00514A10">
              <w:rPr>
                <w:sz w:val="16"/>
                <w:szCs w:val="16"/>
              </w:rPr>
              <w:t>) (строительство транспортной развязки на ПК</w:t>
            </w:r>
            <w:proofErr w:type="gramStart"/>
            <w:r w:rsidRPr="00514A10">
              <w:rPr>
                <w:sz w:val="16"/>
                <w:szCs w:val="16"/>
              </w:rPr>
              <w:t>0</w:t>
            </w:r>
            <w:proofErr w:type="gramEnd"/>
            <w:r w:rsidRPr="00514A10">
              <w:rPr>
                <w:sz w:val="16"/>
                <w:szCs w:val="16"/>
              </w:rPr>
              <w:t>+00 – ПК12+00).</w:t>
            </w:r>
          </w:p>
        </w:tc>
      </w:tr>
      <w:tr w:rsidR="00205B02" w:rsidRPr="00420B18" w:rsidTr="00EF1056">
        <w:trPr>
          <w:trHeight w:val="830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sz w:val="16"/>
                <w:szCs w:val="16"/>
              </w:rPr>
            </w:pPr>
            <w:r w:rsidRPr="00420B18">
              <w:rPr>
                <w:b/>
                <w:sz w:val="16"/>
                <w:szCs w:val="16"/>
              </w:rPr>
              <w:t>2. Критерий аудита эффективности</w:t>
            </w:r>
            <w:r w:rsidRPr="00420B18">
              <w:rPr>
                <w:sz w:val="16"/>
                <w:szCs w:val="16"/>
              </w:rPr>
              <w:t xml:space="preserve">: </w:t>
            </w:r>
            <w:r w:rsidR="00894612" w:rsidRPr="00894612">
              <w:rPr>
                <w:sz w:val="16"/>
                <w:szCs w:val="16"/>
              </w:rPr>
              <w:t>запланированные целевые показатели и индикаторы эффективности (результативности) достигнуты своевременно</w:t>
            </w:r>
            <w:r w:rsidRPr="00420B18">
              <w:rPr>
                <w:sz w:val="16"/>
                <w:szCs w:val="16"/>
              </w:rPr>
              <w:t>.</w:t>
            </w:r>
          </w:p>
        </w:tc>
        <w:tc>
          <w:tcPr>
            <w:tcW w:w="2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894612">
            <w:pPr>
              <w:spacing w:line="240" w:lineRule="auto"/>
              <w:ind w:left="-31" w:right="-1" w:firstLine="0"/>
              <w:jc w:val="center"/>
              <w:rPr>
                <w:sz w:val="16"/>
                <w:szCs w:val="16"/>
              </w:rPr>
            </w:pPr>
          </w:p>
        </w:tc>
      </w:tr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t>3. </w:t>
            </w:r>
            <w:proofErr w:type="gramStart"/>
            <w:r w:rsidRPr="00420B18">
              <w:rPr>
                <w:b/>
                <w:bCs/>
                <w:color w:val="000000"/>
                <w:sz w:val="16"/>
                <w:szCs w:val="16"/>
              </w:rPr>
              <w:t xml:space="preserve">Критерий аудита эффективности: </w:t>
            </w:r>
            <w:r w:rsidRPr="00420B18">
              <w:rPr>
                <w:sz w:val="16"/>
                <w:szCs w:val="16"/>
              </w:rPr>
              <w:t xml:space="preserve">неизрасходованные </w:t>
            </w:r>
            <w:r w:rsidRPr="00420B18">
              <w:rPr>
                <w:sz w:val="16"/>
                <w:szCs w:val="16"/>
              </w:rPr>
              <w:lastRenderedPageBreak/>
              <w:t>объемы бюджетных средств и иных ресурсов,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 (за исключением объемов, образовавшихся в связи с экономией) в рамках государственных программ Российской Федерации и государственных программ Республики Северная Осетия - Алания, отсутствуют.</w:t>
            </w:r>
            <w:proofErr w:type="gramEnd"/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DE65C7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не </w:t>
            </w:r>
            <w:r w:rsidR="00205B02" w:rsidRPr="00420B18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93" w:rsidRDefault="00DE65C7" w:rsidP="00DE65C7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DE65C7">
              <w:rPr>
                <w:sz w:val="16"/>
                <w:szCs w:val="16"/>
              </w:rPr>
              <w:t>В части средств федерального бюджета по</w:t>
            </w:r>
            <w:r w:rsidR="004B1F93">
              <w:rPr>
                <w:sz w:val="16"/>
                <w:szCs w:val="16"/>
              </w:rPr>
              <w:t xml:space="preserve"> государственной программе </w:t>
            </w:r>
            <w:r w:rsidR="004B1F93" w:rsidRPr="004B1F93">
              <w:rPr>
                <w:sz w:val="16"/>
                <w:szCs w:val="16"/>
              </w:rPr>
              <w:t>Российской Федерации «Развитие транспортной системы»</w:t>
            </w:r>
            <w:r w:rsidR="004B1F93">
              <w:rPr>
                <w:sz w:val="16"/>
                <w:szCs w:val="16"/>
              </w:rPr>
              <w:t xml:space="preserve"> (</w:t>
            </w:r>
            <w:r w:rsidRPr="00DE65C7">
              <w:rPr>
                <w:sz w:val="16"/>
                <w:szCs w:val="16"/>
              </w:rPr>
              <w:t>ГП-24</w:t>
            </w:r>
            <w:r w:rsidR="004B1F93">
              <w:rPr>
                <w:sz w:val="16"/>
                <w:szCs w:val="16"/>
              </w:rPr>
              <w:t>)</w:t>
            </w:r>
            <w:r w:rsidRPr="00DE65C7">
              <w:rPr>
                <w:sz w:val="16"/>
                <w:szCs w:val="16"/>
              </w:rPr>
              <w:t xml:space="preserve"> сформировались остатки в объеме 161,2 </w:t>
            </w:r>
            <w:proofErr w:type="gramStart"/>
            <w:r w:rsidRPr="00DE65C7">
              <w:rPr>
                <w:sz w:val="16"/>
                <w:szCs w:val="16"/>
              </w:rPr>
              <w:t>млн</w:t>
            </w:r>
            <w:proofErr w:type="gramEnd"/>
            <w:r w:rsidRPr="00DE65C7">
              <w:rPr>
                <w:sz w:val="16"/>
                <w:szCs w:val="16"/>
              </w:rPr>
              <w:t xml:space="preserve"> рублей, в том числе в 2019</w:t>
            </w:r>
            <w:r w:rsidR="004B1F93">
              <w:rPr>
                <w:sz w:val="16"/>
                <w:szCs w:val="16"/>
              </w:rPr>
              <w:t> </w:t>
            </w:r>
            <w:r w:rsidRPr="00DE65C7">
              <w:rPr>
                <w:sz w:val="16"/>
                <w:szCs w:val="16"/>
              </w:rPr>
              <w:t xml:space="preserve">году – 139,9 млн рублей, в 2020 году – 21,3 млн рублей. </w:t>
            </w:r>
          </w:p>
          <w:p w:rsidR="00DE65C7" w:rsidRPr="00420B18" w:rsidRDefault="00DE65C7" w:rsidP="00DE65C7">
            <w:pPr>
              <w:spacing w:line="240" w:lineRule="auto"/>
              <w:ind w:left="-31" w:right="-1" w:firstLine="0"/>
              <w:rPr>
                <w:color w:val="000000"/>
                <w:sz w:val="16"/>
                <w:szCs w:val="16"/>
              </w:rPr>
            </w:pPr>
            <w:r w:rsidRPr="00DE65C7">
              <w:rPr>
                <w:sz w:val="16"/>
                <w:szCs w:val="16"/>
              </w:rPr>
              <w:t>Основные причины: длительность согласительных процедур, связанных с утверждением решений Правительства Российской Федерации о распределении в 2019</w:t>
            </w:r>
            <w:r>
              <w:rPr>
                <w:sz w:val="16"/>
                <w:szCs w:val="16"/>
              </w:rPr>
              <w:t> </w:t>
            </w:r>
            <w:r w:rsidRPr="00DE65C7">
              <w:rPr>
                <w:sz w:val="16"/>
                <w:szCs w:val="16"/>
              </w:rPr>
              <w:t xml:space="preserve">году дополнительных средств на финансовое обеспечение дорожной деятельности в рамках реализации национального проекта «Безопасные и качественные автомобильные дороги» (распоряжение Правительства Российской Федерации от 17 декабря 2019 г. № 3065-р); позднее получение разрешения на строительство отдельных участков объекта строительства автодороги Владикавказ – Ардон – Чикола – Лескен II (объезд с. </w:t>
            </w:r>
            <w:proofErr w:type="spellStart"/>
            <w:r w:rsidRPr="00DE65C7">
              <w:rPr>
                <w:sz w:val="16"/>
                <w:szCs w:val="16"/>
              </w:rPr>
              <w:t>Мичурино</w:t>
            </w:r>
            <w:proofErr w:type="spellEnd"/>
            <w:r w:rsidRPr="00DE65C7">
              <w:rPr>
                <w:sz w:val="16"/>
                <w:szCs w:val="16"/>
              </w:rPr>
              <w:t>), а также расторжение в 2020 году государственного контракта на строительство указанного объекта в связи с неоднократным нарушением подрядчиком существенных условий контракта.</w:t>
            </w:r>
          </w:p>
        </w:tc>
      </w:tr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4. Критерий аудита эффективности: </w:t>
            </w:r>
            <w:r w:rsidRPr="00420B18">
              <w:rPr>
                <w:sz w:val="16"/>
                <w:szCs w:val="16"/>
              </w:rPr>
              <w:t>необходимость дополнительных финансовых ресурсов, в том числе для завершения строительства объектов капитального строительства, отсутствует.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DE65C7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не </w:t>
            </w:r>
            <w:r w:rsidR="00205B02" w:rsidRPr="00420B18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DE65C7" w:rsidP="004B1F93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DE65C7">
              <w:rPr>
                <w:sz w:val="16"/>
                <w:szCs w:val="16"/>
              </w:rPr>
              <w:t>Для завершения строительства авто</w:t>
            </w:r>
            <w:r>
              <w:rPr>
                <w:sz w:val="16"/>
                <w:szCs w:val="16"/>
              </w:rPr>
              <w:t xml:space="preserve">мобильной </w:t>
            </w:r>
            <w:r w:rsidRPr="00DE65C7">
              <w:rPr>
                <w:sz w:val="16"/>
                <w:szCs w:val="16"/>
              </w:rPr>
              <w:t xml:space="preserve">дороги от с. Н. </w:t>
            </w:r>
            <w:proofErr w:type="spellStart"/>
            <w:r w:rsidRPr="00DE65C7">
              <w:rPr>
                <w:sz w:val="16"/>
                <w:szCs w:val="16"/>
              </w:rPr>
              <w:t>Зарамаг</w:t>
            </w:r>
            <w:proofErr w:type="spellEnd"/>
            <w:r w:rsidRPr="00DE65C7">
              <w:rPr>
                <w:sz w:val="16"/>
                <w:szCs w:val="16"/>
              </w:rPr>
              <w:t xml:space="preserve"> к рекреационному комплексу «</w:t>
            </w:r>
            <w:proofErr w:type="spellStart"/>
            <w:r w:rsidRPr="00DE65C7">
              <w:rPr>
                <w:sz w:val="16"/>
                <w:szCs w:val="16"/>
              </w:rPr>
              <w:t>Мамисон</w:t>
            </w:r>
            <w:proofErr w:type="spellEnd"/>
            <w:r w:rsidRPr="00DE65C7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Pr="00DE65C7">
              <w:rPr>
                <w:sz w:val="16"/>
                <w:szCs w:val="16"/>
              </w:rPr>
              <w:t xml:space="preserve">необходимы дополнительные финансовые ресурсы в объеме 728,0 </w:t>
            </w:r>
            <w:proofErr w:type="gramStart"/>
            <w:r w:rsidRPr="00DE65C7">
              <w:rPr>
                <w:sz w:val="16"/>
                <w:szCs w:val="16"/>
              </w:rPr>
              <w:t>млн</w:t>
            </w:r>
            <w:proofErr w:type="gramEnd"/>
            <w:r w:rsidRPr="00DE65C7">
              <w:rPr>
                <w:sz w:val="16"/>
                <w:szCs w:val="16"/>
              </w:rPr>
              <w:t xml:space="preserve"> рублей (в ценах 2022 года)</w:t>
            </w:r>
            <w:r w:rsidRPr="00DE65C7">
              <w:rPr>
                <w:rStyle w:val="a3"/>
                <w:sz w:val="16"/>
                <w:szCs w:val="16"/>
              </w:rPr>
              <w:footnoteReference w:id="1"/>
            </w:r>
            <w:r>
              <w:rPr>
                <w:sz w:val="16"/>
                <w:szCs w:val="16"/>
              </w:rPr>
              <w:t xml:space="preserve">. </w:t>
            </w:r>
            <w:r w:rsidR="004B1F93">
              <w:rPr>
                <w:sz w:val="16"/>
                <w:szCs w:val="16"/>
              </w:rPr>
              <w:t xml:space="preserve">Строительство указанного объекта не ведется с 2014 года, при этом </w:t>
            </w:r>
            <w:r w:rsidR="004B1F93" w:rsidRPr="004B1F93">
              <w:rPr>
                <w:sz w:val="16"/>
                <w:szCs w:val="16"/>
              </w:rPr>
              <w:t>результатам осмотра установлено, что отдельные конструктивные элементы автомобильной дороги имеют следы разрушений.</w:t>
            </w:r>
            <w:r w:rsidR="004B1F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DE65C7">
              <w:rPr>
                <w:sz w:val="16"/>
                <w:szCs w:val="16"/>
              </w:rPr>
              <w:t xml:space="preserve">а момент проверки решения соответствующих органов государственной власти по завершению строительства объекта не принимались, что свидетельствует о неэффективном расходовании средств федерального бюджета в объеме 1 058,2 </w:t>
            </w:r>
            <w:proofErr w:type="gramStart"/>
            <w:r w:rsidRPr="00DE65C7">
              <w:rPr>
                <w:sz w:val="16"/>
                <w:szCs w:val="16"/>
              </w:rPr>
              <w:t>млн</w:t>
            </w:r>
            <w:proofErr w:type="gramEnd"/>
            <w:r w:rsidRPr="00DE65C7">
              <w:rPr>
                <w:sz w:val="16"/>
                <w:szCs w:val="16"/>
              </w:rPr>
              <w:t xml:space="preserve"> рублей.</w:t>
            </w:r>
          </w:p>
        </w:tc>
      </w:tr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t>5. </w:t>
            </w:r>
            <w:proofErr w:type="gramStart"/>
            <w:r w:rsidRPr="00420B18">
              <w:rPr>
                <w:b/>
                <w:bCs/>
                <w:color w:val="000000"/>
                <w:sz w:val="16"/>
                <w:szCs w:val="16"/>
              </w:rPr>
              <w:t xml:space="preserve">Критерий аудита эффективности: </w:t>
            </w:r>
            <w:r w:rsidRPr="00420B18">
              <w:rPr>
                <w:sz w:val="16"/>
                <w:szCs w:val="16"/>
              </w:rPr>
              <w:t>увеличение объемов финансовых ресурсов без увеличения плановых значений показателей, характеризующих результаты реализации государственных программ Российской Федерации и государственных программ Республики Северная Осетия - Алания в части мероприятий, направленных на развитие сфер здравоохранения и культуры, а также транспортной системы и на обеспечение доступным и комфортным жильем и коммунальными услугами граждан, отсутствует.</w:t>
            </w:r>
            <w:proofErr w:type="gramEnd"/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20B18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1215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D667F4">
            <w:pPr>
              <w:spacing w:line="240" w:lineRule="auto"/>
              <w:ind w:left="-31" w:right="-1" w:firstLine="0"/>
              <w:rPr>
                <w:color w:val="000000"/>
                <w:sz w:val="16"/>
                <w:szCs w:val="16"/>
              </w:rPr>
            </w:pPr>
            <w:r w:rsidRPr="00420B18">
              <w:rPr>
                <w:sz w:val="16"/>
                <w:szCs w:val="16"/>
              </w:rPr>
              <w:t xml:space="preserve">Увеличение объемов финансовых ресурсов без увеличения плановых значений показателей, характеризующих результаты реализации </w:t>
            </w:r>
            <w:r w:rsidR="00D667F4" w:rsidRPr="00D667F4">
              <w:rPr>
                <w:sz w:val="16"/>
                <w:szCs w:val="16"/>
              </w:rPr>
              <w:t>государственных программ Российской Федерации и государственных программ Республики Северная Осетия - Алания в части мероприятий, направленных на развитие транспортной системы</w:t>
            </w:r>
            <w:r w:rsidR="00D667F4">
              <w:rPr>
                <w:sz w:val="16"/>
                <w:szCs w:val="16"/>
              </w:rPr>
              <w:t xml:space="preserve">, </w:t>
            </w:r>
            <w:r w:rsidRPr="00420B18">
              <w:rPr>
                <w:sz w:val="16"/>
                <w:szCs w:val="16"/>
              </w:rPr>
              <w:t>отсутствует.</w:t>
            </w:r>
          </w:p>
        </w:tc>
      </w:tr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t xml:space="preserve">6. Критерий аудита эффективности: </w:t>
            </w:r>
            <w:r w:rsidRPr="00420B18">
              <w:rPr>
                <w:sz w:val="16"/>
                <w:szCs w:val="16"/>
              </w:rPr>
              <w:t>построенные (модернизированные, реконструированные) объекты капитального строительства государственной (муниципальной) собственности эксплуатируются по назначению, мощность объектов соответствует проектно-сметной документации.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420B18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1033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F4" w:rsidRPr="00D667F4" w:rsidRDefault="00D667F4" w:rsidP="00D667F4">
            <w:pPr>
              <w:tabs>
                <w:tab w:val="left" w:pos="1620"/>
              </w:tabs>
              <w:spacing w:line="264" w:lineRule="auto"/>
              <w:ind w:left="-31" w:right="-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Построенные (реконструированные) объекты дорожного хозяйства, </w:t>
            </w:r>
            <w:r w:rsidR="00205B02" w:rsidRPr="00420B18">
              <w:rPr>
                <w:sz w:val="16"/>
                <w:szCs w:val="16"/>
              </w:rPr>
              <w:t>введенны</w:t>
            </w:r>
            <w:r>
              <w:rPr>
                <w:sz w:val="16"/>
                <w:szCs w:val="16"/>
              </w:rPr>
              <w:t>е</w:t>
            </w:r>
            <w:r w:rsidR="00A37134">
              <w:rPr>
                <w:sz w:val="16"/>
                <w:szCs w:val="16"/>
              </w:rPr>
              <w:t xml:space="preserve"> в эксплуатацию в 2019 </w:t>
            </w:r>
            <w:r>
              <w:rPr>
                <w:sz w:val="16"/>
                <w:szCs w:val="16"/>
              </w:rPr>
              <w:t>–</w:t>
            </w:r>
            <w:r w:rsidR="00A37134">
              <w:rPr>
                <w:sz w:val="16"/>
                <w:szCs w:val="16"/>
              </w:rPr>
              <w:t xml:space="preserve"> </w:t>
            </w:r>
            <w:r w:rsidR="00205B02" w:rsidRPr="00420B18">
              <w:rPr>
                <w:sz w:val="16"/>
                <w:szCs w:val="16"/>
              </w:rPr>
              <w:t>202</w:t>
            </w:r>
            <w:r w:rsidR="00A37134">
              <w:rPr>
                <w:sz w:val="16"/>
                <w:szCs w:val="16"/>
              </w:rPr>
              <w:t xml:space="preserve">0 </w:t>
            </w:r>
            <w:r w:rsidR="00205B02" w:rsidRPr="00420B18">
              <w:rPr>
                <w:sz w:val="16"/>
                <w:szCs w:val="16"/>
              </w:rPr>
              <w:t xml:space="preserve">годах </w:t>
            </w:r>
            <w:r w:rsidR="00A37134" w:rsidRPr="00420B18">
              <w:rPr>
                <w:sz w:val="16"/>
                <w:szCs w:val="16"/>
              </w:rPr>
              <w:t xml:space="preserve">используются по назначению </w:t>
            </w:r>
            <w:r w:rsidR="00A37134">
              <w:rPr>
                <w:sz w:val="16"/>
                <w:szCs w:val="16"/>
              </w:rPr>
              <w:t xml:space="preserve">и </w:t>
            </w:r>
            <w:r w:rsidR="00205B02" w:rsidRPr="00420B18">
              <w:rPr>
                <w:sz w:val="16"/>
                <w:szCs w:val="16"/>
              </w:rPr>
              <w:t>соответствуют проектной мощности</w:t>
            </w:r>
            <w:r>
              <w:rPr>
                <w:sz w:val="16"/>
                <w:szCs w:val="16"/>
              </w:rPr>
              <w:t>,</w:t>
            </w:r>
            <w:r w:rsidR="00205B02" w:rsidRPr="00420B18">
              <w:rPr>
                <w:sz w:val="16"/>
                <w:szCs w:val="16"/>
              </w:rPr>
              <w:t xml:space="preserve"> </w:t>
            </w:r>
            <w:r w:rsidRPr="00D667F4">
              <w:rPr>
                <w:sz w:val="16"/>
                <w:szCs w:val="16"/>
              </w:rPr>
              <w:t xml:space="preserve">за исключением объекта регионального значения «Реконструкция мостового перехода через р. </w:t>
            </w:r>
            <w:proofErr w:type="spellStart"/>
            <w:r w:rsidRPr="00D667F4">
              <w:rPr>
                <w:sz w:val="16"/>
                <w:szCs w:val="16"/>
              </w:rPr>
              <w:t>Камбилеевка</w:t>
            </w:r>
            <w:proofErr w:type="spellEnd"/>
            <w:r w:rsidRPr="00D667F4">
              <w:rPr>
                <w:sz w:val="16"/>
                <w:szCs w:val="16"/>
              </w:rPr>
              <w:t xml:space="preserve"> на </w:t>
            </w:r>
            <w:proofErr w:type="gramStart"/>
            <w:r w:rsidRPr="00D667F4">
              <w:rPr>
                <w:sz w:val="16"/>
                <w:szCs w:val="16"/>
              </w:rPr>
              <w:t>км</w:t>
            </w:r>
            <w:proofErr w:type="gramEnd"/>
            <w:r w:rsidRPr="00D667F4">
              <w:rPr>
                <w:sz w:val="16"/>
                <w:szCs w:val="16"/>
              </w:rPr>
              <w:t xml:space="preserve"> 78,06 автодороги Моздок – Чермен – Владикавказ»</w:t>
            </w:r>
            <w:r>
              <w:rPr>
                <w:sz w:val="16"/>
                <w:szCs w:val="16"/>
              </w:rPr>
              <w:t xml:space="preserve">. </w:t>
            </w:r>
          </w:p>
          <w:p w:rsidR="00D667F4" w:rsidRPr="00D667F4" w:rsidRDefault="00D667F4" w:rsidP="00D667F4">
            <w:pPr>
              <w:tabs>
                <w:tab w:val="left" w:pos="1620"/>
              </w:tabs>
              <w:spacing w:line="264" w:lineRule="auto"/>
              <w:ind w:left="-31" w:right="-1" w:firstLine="0"/>
              <w:rPr>
                <w:sz w:val="16"/>
                <w:szCs w:val="16"/>
              </w:rPr>
            </w:pPr>
            <w:r w:rsidRPr="00D667F4">
              <w:rPr>
                <w:sz w:val="16"/>
                <w:szCs w:val="16"/>
              </w:rPr>
              <w:t xml:space="preserve">Так, в соответствии с проектной документацией протяженность указанного мостового перехода составляет 41,15 пог. м, при этом согласно разрешению на ввод объекта в эксплуатацию от 29 октября 2020 г. № 15-15508000-372020 – 21,15 </w:t>
            </w:r>
            <w:proofErr w:type="spellStart"/>
            <w:r w:rsidRPr="00D667F4">
              <w:rPr>
                <w:sz w:val="16"/>
                <w:szCs w:val="16"/>
              </w:rPr>
              <w:t>пог</w:t>
            </w:r>
            <w:proofErr w:type="gramStart"/>
            <w:r w:rsidRPr="00D667F4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D667F4">
              <w:rPr>
                <w:sz w:val="16"/>
                <w:szCs w:val="16"/>
              </w:rPr>
              <w:t>, что на 20,0 пог. м меньше.</w:t>
            </w:r>
          </w:p>
          <w:p w:rsidR="00D667F4" w:rsidRPr="00420B18" w:rsidRDefault="00D667F4" w:rsidP="00A37134">
            <w:pPr>
              <w:tabs>
                <w:tab w:val="left" w:pos="1620"/>
              </w:tabs>
              <w:spacing w:line="264" w:lineRule="auto"/>
              <w:ind w:left="-31" w:right="-1" w:firstLine="0"/>
              <w:rPr>
                <w:color w:val="000000"/>
                <w:sz w:val="16"/>
                <w:szCs w:val="16"/>
              </w:rPr>
            </w:pPr>
            <w:r w:rsidRPr="00D667F4">
              <w:rPr>
                <w:sz w:val="16"/>
                <w:szCs w:val="16"/>
              </w:rPr>
              <w:t xml:space="preserve">По информации Комитета </w:t>
            </w:r>
            <w:r>
              <w:rPr>
                <w:sz w:val="16"/>
                <w:szCs w:val="16"/>
              </w:rPr>
              <w:t xml:space="preserve">дорожного хозяйства РСО – Алания </w:t>
            </w:r>
            <w:r w:rsidRPr="00D667F4">
              <w:rPr>
                <w:sz w:val="16"/>
                <w:szCs w:val="16"/>
              </w:rPr>
              <w:t>данное несоответствие вызвано технической ошибкой в разрешении</w:t>
            </w:r>
            <w:r w:rsidR="00A37134">
              <w:rPr>
                <w:sz w:val="16"/>
                <w:szCs w:val="16"/>
              </w:rPr>
              <w:t xml:space="preserve"> на ввод объекта в эксплуатацию</w:t>
            </w:r>
            <w:r w:rsidRPr="00D667F4">
              <w:rPr>
                <w:sz w:val="16"/>
                <w:szCs w:val="16"/>
              </w:rPr>
              <w:t>.</w:t>
            </w:r>
          </w:p>
        </w:tc>
      </w:tr>
      <w:tr w:rsidR="00205B02" w:rsidRPr="00420B18" w:rsidTr="00EF1056">
        <w:trPr>
          <w:trHeight w:val="211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205B02" w:rsidP="00EF1056">
            <w:pPr>
              <w:tabs>
                <w:tab w:val="left" w:pos="1620"/>
              </w:tabs>
              <w:spacing w:line="264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420B18">
              <w:rPr>
                <w:b/>
                <w:bCs/>
                <w:color w:val="000000"/>
                <w:sz w:val="16"/>
                <w:szCs w:val="16"/>
              </w:rPr>
              <w:t xml:space="preserve">7. Критерий аудита эффективности: </w:t>
            </w:r>
            <w:r w:rsidRPr="00420B18">
              <w:rPr>
                <w:sz w:val="16"/>
                <w:szCs w:val="16"/>
              </w:rPr>
              <w:t>объемы и количество объектов незавершенного строительства (за исключением объектов, строительство которых осуществляется в соответствии с графиком производства работ) на территории Республики Северная Осетия - Алания снижены.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02" w:rsidRPr="00420B18" w:rsidRDefault="00A37134" w:rsidP="00894612">
            <w:pPr>
              <w:spacing w:line="240" w:lineRule="auto"/>
              <w:ind w:left="-31" w:right="-1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не </w:t>
            </w:r>
            <w:r w:rsidR="00205B02" w:rsidRPr="00420B18">
              <w:rPr>
                <w:b/>
                <w:color w:val="000000"/>
                <w:sz w:val="16"/>
                <w:szCs w:val="16"/>
              </w:rPr>
              <w:t>достигнут</w:t>
            </w:r>
          </w:p>
        </w:tc>
      </w:tr>
      <w:tr w:rsidR="00205B02" w:rsidRPr="00420B18" w:rsidTr="00EF1056">
        <w:trPr>
          <w:trHeight w:val="909"/>
        </w:trPr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02" w:rsidRPr="00420B18" w:rsidRDefault="00205B02" w:rsidP="00EF1056">
            <w:pPr>
              <w:spacing w:line="240" w:lineRule="auto"/>
              <w:ind w:left="-113" w:right="-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34" w:rsidRPr="00A37134" w:rsidRDefault="00A37134" w:rsidP="00A37134">
            <w:pPr>
              <w:spacing w:line="240" w:lineRule="auto"/>
              <w:ind w:left="-31" w:right="-1" w:firstLine="0"/>
              <w:rPr>
                <w:sz w:val="16"/>
                <w:szCs w:val="16"/>
              </w:rPr>
            </w:pPr>
            <w:r w:rsidRPr="00A37134">
              <w:rPr>
                <w:sz w:val="16"/>
                <w:szCs w:val="16"/>
              </w:rPr>
              <w:t>В период 2019 – 2020 годов в Республике Северная Осетия – Алания количество дорожных объектов незавершенного строительства (за исключением объектов, строительство которых осуществляется в соответствии с графиком производства работ) увеличилось на 2</w:t>
            </w:r>
            <w:r>
              <w:rPr>
                <w:sz w:val="16"/>
                <w:szCs w:val="16"/>
              </w:rPr>
              <w:t> </w:t>
            </w:r>
            <w:r w:rsidRPr="00A37134">
              <w:rPr>
                <w:sz w:val="16"/>
                <w:szCs w:val="16"/>
              </w:rPr>
              <w:t>единицы, объемы незавершенного строительства увеличились на 2</w:t>
            </w:r>
            <w:r>
              <w:rPr>
                <w:sz w:val="16"/>
                <w:szCs w:val="16"/>
              </w:rPr>
              <w:t> </w:t>
            </w:r>
            <w:r w:rsidRPr="00A37134">
              <w:rPr>
                <w:sz w:val="16"/>
                <w:szCs w:val="16"/>
              </w:rPr>
              <w:t xml:space="preserve">197,0 </w:t>
            </w:r>
            <w:proofErr w:type="gramStart"/>
            <w:r w:rsidRPr="00A37134">
              <w:rPr>
                <w:sz w:val="16"/>
                <w:szCs w:val="16"/>
              </w:rPr>
              <w:t>млн</w:t>
            </w:r>
            <w:proofErr w:type="gramEnd"/>
            <w:r w:rsidRPr="00A37134">
              <w:rPr>
                <w:sz w:val="16"/>
                <w:szCs w:val="16"/>
              </w:rPr>
              <w:t xml:space="preserve"> рублей.</w:t>
            </w:r>
          </w:p>
          <w:p w:rsidR="00205B02" w:rsidRPr="00420B18" w:rsidRDefault="00A37134" w:rsidP="004164E8">
            <w:pPr>
              <w:spacing w:line="240" w:lineRule="auto"/>
              <w:ind w:left="-31" w:right="-1" w:firstLine="0"/>
              <w:rPr>
                <w:color w:val="000000"/>
                <w:sz w:val="16"/>
                <w:szCs w:val="16"/>
              </w:rPr>
            </w:pPr>
            <w:r w:rsidRPr="00A37134">
              <w:rPr>
                <w:sz w:val="16"/>
                <w:szCs w:val="16"/>
              </w:rPr>
              <w:t xml:space="preserve">Это обусловлено </w:t>
            </w:r>
            <w:r w:rsidR="004164E8">
              <w:rPr>
                <w:sz w:val="16"/>
                <w:szCs w:val="16"/>
              </w:rPr>
              <w:t>передачей</w:t>
            </w:r>
            <w:r w:rsidRPr="00A37134">
              <w:rPr>
                <w:sz w:val="16"/>
                <w:szCs w:val="16"/>
              </w:rPr>
              <w:t xml:space="preserve"> АО «</w:t>
            </w:r>
            <w:proofErr w:type="spellStart"/>
            <w:r w:rsidRPr="00A37134">
              <w:rPr>
                <w:sz w:val="16"/>
                <w:szCs w:val="16"/>
              </w:rPr>
              <w:t>Зарамагские</w:t>
            </w:r>
            <w:proofErr w:type="spellEnd"/>
            <w:r w:rsidRPr="00A37134">
              <w:rPr>
                <w:sz w:val="16"/>
                <w:szCs w:val="16"/>
              </w:rPr>
              <w:t xml:space="preserve"> ГЭС» в государственную собственность </w:t>
            </w:r>
            <w:r>
              <w:rPr>
                <w:sz w:val="16"/>
                <w:szCs w:val="16"/>
              </w:rPr>
              <w:t>РСО – Алания</w:t>
            </w:r>
            <w:r w:rsidRPr="00A37134">
              <w:rPr>
                <w:sz w:val="16"/>
                <w:szCs w:val="16"/>
              </w:rPr>
              <w:t xml:space="preserve"> незавершенного строительством объекта «Мост через р. Ардон» балансовой стоимостью 30,4 </w:t>
            </w:r>
            <w:proofErr w:type="gramStart"/>
            <w:r w:rsidRPr="00A37134">
              <w:rPr>
                <w:sz w:val="16"/>
                <w:szCs w:val="16"/>
              </w:rPr>
              <w:t>млн</w:t>
            </w:r>
            <w:proofErr w:type="gramEnd"/>
            <w:r w:rsidRPr="00A37134">
              <w:rPr>
                <w:sz w:val="16"/>
                <w:szCs w:val="16"/>
              </w:rPr>
              <w:t xml:space="preserve"> рублей, а также началом строительства и срывом срока завершения объекта реконструкции автодороги «Кавказ – </w:t>
            </w:r>
            <w:proofErr w:type="spellStart"/>
            <w:r w:rsidRPr="00A37134">
              <w:rPr>
                <w:sz w:val="16"/>
                <w:szCs w:val="16"/>
              </w:rPr>
              <w:t>Хурикау</w:t>
            </w:r>
            <w:proofErr w:type="spellEnd"/>
            <w:r w:rsidRPr="00A37134">
              <w:rPr>
                <w:sz w:val="16"/>
                <w:szCs w:val="16"/>
              </w:rPr>
              <w:t xml:space="preserve"> – </w:t>
            </w:r>
            <w:proofErr w:type="spellStart"/>
            <w:r w:rsidRPr="00A37134">
              <w:rPr>
                <w:sz w:val="16"/>
                <w:szCs w:val="16"/>
              </w:rPr>
              <w:t>Малгобек</w:t>
            </w:r>
            <w:proofErr w:type="spellEnd"/>
            <w:r w:rsidRPr="00A37134">
              <w:rPr>
                <w:sz w:val="16"/>
                <w:szCs w:val="16"/>
              </w:rPr>
              <w:t xml:space="preserve"> – Моздок, км</w:t>
            </w:r>
            <w:r w:rsidR="004164E8">
              <w:rPr>
                <w:sz w:val="16"/>
                <w:szCs w:val="16"/>
              </w:rPr>
              <w:t> </w:t>
            </w:r>
            <w:r w:rsidRPr="00A37134">
              <w:rPr>
                <w:sz w:val="16"/>
                <w:szCs w:val="16"/>
              </w:rPr>
              <w:t>0,0 – км 61,6» с объемом капитальных вложений 2</w:t>
            </w:r>
            <w:r>
              <w:rPr>
                <w:sz w:val="16"/>
                <w:szCs w:val="16"/>
              </w:rPr>
              <w:t> </w:t>
            </w:r>
            <w:r w:rsidRPr="00A37134">
              <w:rPr>
                <w:sz w:val="16"/>
                <w:szCs w:val="16"/>
              </w:rPr>
              <w:t>165,8 млн рублей.</w:t>
            </w:r>
          </w:p>
        </w:tc>
      </w:tr>
    </w:tbl>
    <w:p w:rsidR="00205B02" w:rsidRPr="00DD528D" w:rsidRDefault="00205B02" w:rsidP="00205B02">
      <w:pPr>
        <w:tabs>
          <w:tab w:val="left" w:pos="1620"/>
        </w:tabs>
        <w:spacing w:line="264" w:lineRule="auto"/>
        <w:jc w:val="center"/>
        <w:rPr>
          <w:sz w:val="22"/>
          <w:szCs w:val="22"/>
        </w:rPr>
      </w:pPr>
    </w:p>
    <w:p w:rsidR="00E403A8" w:rsidRDefault="00837DC2"/>
    <w:sectPr w:rsidR="00E403A8" w:rsidSect="000E56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C2" w:rsidRDefault="00837DC2" w:rsidP="00205B02">
      <w:pPr>
        <w:spacing w:line="240" w:lineRule="auto"/>
      </w:pPr>
      <w:r>
        <w:separator/>
      </w:r>
    </w:p>
  </w:endnote>
  <w:endnote w:type="continuationSeparator" w:id="0">
    <w:p w:rsidR="00837DC2" w:rsidRDefault="00837DC2" w:rsidP="0020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C2" w:rsidRDefault="00837DC2" w:rsidP="00205B02">
      <w:pPr>
        <w:spacing w:line="240" w:lineRule="auto"/>
      </w:pPr>
      <w:r>
        <w:separator/>
      </w:r>
    </w:p>
  </w:footnote>
  <w:footnote w:type="continuationSeparator" w:id="0">
    <w:p w:rsidR="00837DC2" w:rsidRDefault="00837DC2" w:rsidP="00205B02">
      <w:pPr>
        <w:spacing w:line="240" w:lineRule="auto"/>
      </w:pPr>
      <w:r>
        <w:continuationSeparator/>
      </w:r>
    </w:p>
  </w:footnote>
  <w:footnote w:id="1">
    <w:p w:rsidR="00DE65C7" w:rsidRPr="00060BF4" w:rsidRDefault="00DE65C7" w:rsidP="00DE65C7">
      <w:pPr>
        <w:pStyle w:val="a4"/>
        <w:jc w:val="both"/>
        <w:rPr>
          <w:sz w:val="20"/>
          <w:szCs w:val="20"/>
        </w:rPr>
      </w:pPr>
      <w:r w:rsidRPr="00060BF4">
        <w:rPr>
          <w:rStyle w:val="a3"/>
          <w:sz w:val="20"/>
          <w:szCs w:val="20"/>
        </w:rPr>
        <w:footnoteRef/>
      </w:r>
      <w:r w:rsidRPr="00060BF4">
        <w:rPr>
          <w:sz w:val="20"/>
          <w:szCs w:val="20"/>
        </w:rPr>
        <w:t xml:space="preserve"> С учетом индексов-дефляторов «Инвестиции в основной капитал» на 2020, 2021 и 2022</w:t>
      </w:r>
      <w:r>
        <w:rPr>
          <w:sz w:val="20"/>
          <w:szCs w:val="20"/>
        </w:rPr>
        <w:t xml:space="preserve"> годы (к=1,056, 1,054, к=1,051 </w:t>
      </w:r>
      <w:r w:rsidRPr="00060BF4">
        <w:rPr>
          <w:sz w:val="20"/>
          <w:szCs w:val="20"/>
        </w:rPr>
        <w:t>соответственно) в соответствии с Прогнозом социально-экономического развития Российской Федерации на 2022 год и на плановый период 2023 и 2024 годов, размещенным на официальном сайте Минэкономразвития России 30 сентября 2021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00096"/>
      <w:docPartObj>
        <w:docPartGallery w:val="Page Numbers (Top of Page)"/>
        <w:docPartUnique/>
      </w:docPartObj>
    </w:sdtPr>
    <w:sdtEndPr/>
    <w:sdtContent>
      <w:p w:rsidR="000E5667" w:rsidRDefault="000E5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8F">
          <w:rPr>
            <w:noProof/>
          </w:rPr>
          <w:t>2</w:t>
        </w:r>
        <w:r>
          <w:fldChar w:fldCharType="end"/>
        </w:r>
      </w:p>
    </w:sdtContent>
  </w:sdt>
  <w:p w:rsidR="000E5667" w:rsidRDefault="000E56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BC"/>
    <w:rsid w:val="000E5667"/>
    <w:rsid w:val="002013BC"/>
    <w:rsid w:val="00205B02"/>
    <w:rsid w:val="004164E8"/>
    <w:rsid w:val="004B1F93"/>
    <w:rsid w:val="00514A10"/>
    <w:rsid w:val="0071145C"/>
    <w:rsid w:val="00837DC2"/>
    <w:rsid w:val="00894612"/>
    <w:rsid w:val="008B227D"/>
    <w:rsid w:val="00945B27"/>
    <w:rsid w:val="00A0118F"/>
    <w:rsid w:val="00A05988"/>
    <w:rsid w:val="00A37134"/>
    <w:rsid w:val="00A45B44"/>
    <w:rsid w:val="00B7658F"/>
    <w:rsid w:val="00C15C2E"/>
    <w:rsid w:val="00C6666D"/>
    <w:rsid w:val="00C74BDD"/>
    <w:rsid w:val="00CA5B11"/>
    <w:rsid w:val="00D52512"/>
    <w:rsid w:val="00D667F4"/>
    <w:rsid w:val="00DE65C7"/>
    <w:rsid w:val="00D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05B02"/>
    <w:rPr>
      <w:vertAlign w:val="superscript"/>
    </w:rPr>
  </w:style>
  <w:style w:type="paragraph" w:customStyle="1" w:styleId="1">
    <w:name w:val="Знак сноски1"/>
    <w:link w:val="a3"/>
    <w:uiPriority w:val="99"/>
    <w:rsid w:val="00205B02"/>
    <w:pPr>
      <w:spacing w:after="0" w:line="240" w:lineRule="auto"/>
    </w:pPr>
    <w:rPr>
      <w:vertAlign w:val="superscript"/>
    </w:rPr>
  </w:style>
  <w:style w:type="paragraph" w:styleId="a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,F1,Ciae Ci"/>
    <w:basedOn w:val="a"/>
    <w:link w:val="10"/>
    <w:uiPriority w:val="99"/>
    <w:qFormat/>
    <w:rsid w:val="00DE65C7"/>
    <w:pPr>
      <w:spacing w:line="24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a5">
    <w:name w:val="Текст сноски Знак"/>
    <w:basedOn w:val="a0"/>
    <w:uiPriority w:val="99"/>
    <w:semiHidden/>
    <w:rsid w:val="00DE6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4"/>
    <w:uiPriority w:val="99"/>
    <w:rsid w:val="00DE6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0E56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56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6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basedOn w:val="a0"/>
    <w:link w:val="1"/>
    <w:uiPriority w:val="99"/>
    <w:unhideWhenUsed/>
    <w:qFormat/>
    <w:rsid w:val="00205B02"/>
    <w:rPr>
      <w:vertAlign w:val="superscript"/>
    </w:rPr>
  </w:style>
  <w:style w:type="paragraph" w:customStyle="1" w:styleId="1">
    <w:name w:val="Знак сноски1"/>
    <w:link w:val="a3"/>
    <w:uiPriority w:val="99"/>
    <w:rsid w:val="00205B02"/>
    <w:pPr>
      <w:spacing w:after="0" w:line="240" w:lineRule="auto"/>
    </w:pPr>
    <w:rPr>
      <w:vertAlign w:val="superscript"/>
    </w:rPr>
  </w:style>
  <w:style w:type="paragraph" w:styleId="a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,F1,Ciae Ci"/>
    <w:basedOn w:val="a"/>
    <w:link w:val="10"/>
    <w:uiPriority w:val="99"/>
    <w:qFormat/>
    <w:rsid w:val="00DE65C7"/>
    <w:pPr>
      <w:spacing w:line="24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a5">
    <w:name w:val="Текст сноски Знак"/>
    <w:basedOn w:val="a0"/>
    <w:uiPriority w:val="99"/>
    <w:semiHidden/>
    <w:rsid w:val="00DE6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4"/>
    <w:uiPriority w:val="99"/>
    <w:rsid w:val="00DE6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0E56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56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6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Ж.В.</dc:creator>
  <cp:lastModifiedBy>Мещерякова ЖВ</cp:lastModifiedBy>
  <cp:revision>9</cp:revision>
  <dcterms:created xsi:type="dcterms:W3CDTF">2022-01-20T10:36:00Z</dcterms:created>
  <dcterms:modified xsi:type="dcterms:W3CDTF">2022-01-28T10:35:00Z</dcterms:modified>
</cp:coreProperties>
</file>