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EAB" w:rsidRDefault="00A32EAB" w:rsidP="00A32EAB">
      <w:pPr>
        <w:spacing w:line="360" w:lineRule="auto"/>
        <w:ind w:firstLine="709"/>
        <w:jc w:val="right"/>
        <w:rPr>
          <w:rFonts w:eastAsia="Calibri"/>
          <w:sz w:val="28"/>
          <w:szCs w:val="28"/>
          <w:lang w:eastAsia="en-US"/>
        </w:rPr>
      </w:pPr>
      <w:r>
        <w:rPr>
          <w:rFonts w:eastAsia="Calibri"/>
          <w:sz w:val="28"/>
          <w:szCs w:val="28"/>
          <w:lang w:eastAsia="en-US"/>
        </w:rPr>
        <w:t>Приложение</w:t>
      </w:r>
      <w:r w:rsidR="00626972">
        <w:rPr>
          <w:rFonts w:eastAsia="Calibri"/>
          <w:sz w:val="28"/>
          <w:szCs w:val="28"/>
          <w:lang w:eastAsia="en-US"/>
        </w:rPr>
        <w:t xml:space="preserve"> 9</w:t>
      </w:r>
    </w:p>
    <w:p w:rsidR="00A32EAB" w:rsidRPr="00626972" w:rsidRDefault="00626972" w:rsidP="00626972">
      <w:pPr>
        <w:spacing w:line="360" w:lineRule="auto"/>
        <w:ind w:firstLine="709"/>
        <w:jc w:val="center"/>
        <w:rPr>
          <w:rFonts w:eastAsia="Calibri"/>
          <w:b/>
          <w:sz w:val="28"/>
          <w:szCs w:val="28"/>
          <w:lang w:eastAsia="en-US"/>
        </w:rPr>
      </w:pPr>
      <w:r w:rsidRPr="00626972">
        <w:rPr>
          <w:rFonts w:eastAsia="Calibri"/>
          <w:b/>
          <w:sz w:val="28"/>
          <w:szCs w:val="28"/>
          <w:lang w:eastAsia="en-US"/>
        </w:rPr>
        <w:t>Анализ методик рейтинговых агентств</w:t>
      </w:r>
    </w:p>
    <w:p w:rsidR="00881DA5" w:rsidRPr="00881DA5" w:rsidRDefault="00626972" w:rsidP="00D07B7A">
      <w:pPr>
        <w:widowControl w:val="0"/>
        <w:spacing w:line="312" w:lineRule="auto"/>
        <w:ind w:firstLine="709"/>
        <w:contextualSpacing/>
        <w:jc w:val="both"/>
        <w:rPr>
          <w:bCs/>
          <w:iCs/>
          <w:sz w:val="28"/>
          <w:szCs w:val="28"/>
          <w:lang w:bidi="ru-RU"/>
        </w:rPr>
      </w:pPr>
      <w:r>
        <w:rPr>
          <w:bCs/>
          <w:iCs/>
          <w:sz w:val="28"/>
          <w:szCs w:val="28"/>
          <w:lang w:bidi="ru-RU"/>
        </w:rPr>
        <w:t xml:space="preserve">1. </w:t>
      </w:r>
      <w:r w:rsidR="00881DA5" w:rsidRPr="00881DA5">
        <w:rPr>
          <w:bCs/>
          <w:iCs/>
          <w:sz w:val="28"/>
          <w:szCs w:val="28"/>
          <w:lang w:bidi="ru-RU"/>
        </w:rPr>
        <w:t>В разработку направления устойчивости бюджетов с целью создания информационной и аналитической базы, позволяющей инвестору или кредитору определить кредитоспособность органов власти и уровень инвестиционных рисков в стране (регионе) внесли свой вклад рейтинговые и информационные агентства, как-то:</w:t>
      </w:r>
    </w:p>
    <w:p w:rsidR="00881DA5" w:rsidRPr="00626972" w:rsidRDefault="00881DA5" w:rsidP="00D07B7A">
      <w:pPr>
        <w:pStyle w:val="a9"/>
        <w:widowControl w:val="0"/>
        <w:numPr>
          <w:ilvl w:val="0"/>
          <w:numId w:val="7"/>
        </w:numPr>
        <w:tabs>
          <w:tab w:val="left" w:pos="993"/>
        </w:tabs>
        <w:spacing w:line="312" w:lineRule="auto"/>
        <w:ind w:left="0" w:firstLine="709"/>
        <w:jc w:val="both"/>
        <w:rPr>
          <w:bCs/>
          <w:iCs/>
          <w:sz w:val="28"/>
          <w:szCs w:val="28"/>
          <w:lang w:bidi="ru-RU"/>
        </w:rPr>
      </w:pPr>
      <w:r w:rsidRPr="00626972">
        <w:rPr>
          <w:bCs/>
          <w:iCs/>
          <w:sz w:val="28"/>
          <w:szCs w:val="28"/>
          <w:lang w:bidi="ru-RU"/>
        </w:rPr>
        <w:t>«ЕА-</w:t>
      </w:r>
      <w:proofErr w:type="spellStart"/>
      <w:r w:rsidRPr="00626972">
        <w:rPr>
          <w:bCs/>
          <w:iCs/>
          <w:sz w:val="28"/>
          <w:szCs w:val="28"/>
          <w:lang w:bidi="ru-RU"/>
        </w:rPr>
        <w:t>Ratings</w:t>
      </w:r>
      <w:proofErr w:type="spellEnd"/>
      <w:r w:rsidRPr="00626972">
        <w:rPr>
          <w:bCs/>
          <w:iCs/>
          <w:sz w:val="28"/>
          <w:szCs w:val="28"/>
          <w:lang w:bidi="ru-RU"/>
        </w:rPr>
        <w:t>»;</w:t>
      </w:r>
    </w:p>
    <w:p w:rsidR="00881DA5" w:rsidRPr="00626972" w:rsidRDefault="00881DA5" w:rsidP="00D07B7A">
      <w:pPr>
        <w:pStyle w:val="a9"/>
        <w:widowControl w:val="0"/>
        <w:numPr>
          <w:ilvl w:val="0"/>
          <w:numId w:val="7"/>
        </w:numPr>
        <w:tabs>
          <w:tab w:val="left" w:pos="993"/>
        </w:tabs>
        <w:spacing w:line="312" w:lineRule="auto"/>
        <w:ind w:left="0" w:firstLine="709"/>
        <w:jc w:val="both"/>
        <w:rPr>
          <w:bCs/>
          <w:iCs/>
          <w:sz w:val="28"/>
          <w:szCs w:val="28"/>
          <w:lang w:bidi="ru-RU"/>
        </w:rPr>
      </w:pPr>
      <w:r w:rsidRPr="00626972">
        <w:rPr>
          <w:bCs/>
          <w:iCs/>
          <w:sz w:val="28"/>
          <w:szCs w:val="28"/>
          <w:lang w:bidi="ru-RU"/>
        </w:rPr>
        <w:t>ЦЭА «Интерфакс»</w:t>
      </w:r>
      <w:r w:rsidRPr="00881DA5">
        <w:rPr>
          <w:vertAlign w:val="superscript"/>
          <w:lang w:bidi="ru-RU"/>
        </w:rPr>
        <w:footnoteReference w:id="1"/>
      </w:r>
      <w:r w:rsidRPr="00626972">
        <w:rPr>
          <w:bCs/>
          <w:iCs/>
          <w:sz w:val="28"/>
          <w:szCs w:val="28"/>
          <w:lang w:bidi="ru-RU"/>
        </w:rPr>
        <w:t>;</w:t>
      </w:r>
    </w:p>
    <w:p w:rsidR="00881DA5" w:rsidRPr="00626972" w:rsidRDefault="00881DA5" w:rsidP="00D07B7A">
      <w:pPr>
        <w:pStyle w:val="a9"/>
        <w:widowControl w:val="0"/>
        <w:numPr>
          <w:ilvl w:val="0"/>
          <w:numId w:val="7"/>
        </w:numPr>
        <w:tabs>
          <w:tab w:val="left" w:pos="993"/>
        </w:tabs>
        <w:spacing w:line="312" w:lineRule="auto"/>
        <w:ind w:left="0" w:firstLine="709"/>
        <w:jc w:val="both"/>
        <w:rPr>
          <w:bCs/>
          <w:iCs/>
          <w:sz w:val="28"/>
          <w:szCs w:val="28"/>
          <w:lang w:bidi="ru-RU"/>
        </w:rPr>
      </w:pPr>
      <w:r w:rsidRPr="00626972">
        <w:rPr>
          <w:bCs/>
          <w:iCs/>
          <w:sz w:val="28"/>
          <w:szCs w:val="28"/>
          <w:lang w:bidi="ru-RU"/>
        </w:rPr>
        <w:t>Рейтинговое агентство «Эксперт-РА»</w:t>
      </w:r>
      <w:r w:rsidRPr="00881DA5">
        <w:rPr>
          <w:vertAlign w:val="superscript"/>
          <w:lang w:bidi="ru-RU"/>
        </w:rPr>
        <w:footnoteReference w:id="2"/>
      </w:r>
      <w:r w:rsidRPr="00626972">
        <w:rPr>
          <w:bCs/>
          <w:iCs/>
          <w:sz w:val="28"/>
          <w:szCs w:val="28"/>
          <w:lang w:bidi="ru-RU"/>
        </w:rPr>
        <w:t>.</w:t>
      </w:r>
    </w:p>
    <w:p w:rsidR="00881DA5" w:rsidRPr="00881DA5" w:rsidRDefault="00881DA5" w:rsidP="00D07B7A">
      <w:pPr>
        <w:widowControl w:val="0"/>
        <w:spacing w:after="100" w:afterAutospacing="1" w:line="312" w:lineRule="auto"/>
        <w:ind w:firstLine="709"/>
        <w:contextualSpacing/>
        <w:jc w:val="both"/>
        <w:rPr>
          <w:bCs/>
          <w:iCs/>
          <w:sz w:val="28"/>
          <w:szCs w:val="28"/>
          <w:lang w:bidi="ru-RU"/>
        </w:rPr>
      </w:pPr>
      <w:r w:rsidRPr="00881DA5">
        <w:rPr>
          <w:bCs/>
          <w:iCs/>
          <w:sz w:val="28"/>
          <w:szCs w:val="28"/>
          <w:lang w:bidi="ru-RU"/>
        </w:rPr>
        <w:t>Данные исследования заложили основы количественной оценки устойчивости бюджета, при этом инвестиционная направленность исследований не могло не сказаться на структуре и составе исследуемых показателях. Например, рейтинги «Эксперт-РА» включают в себя исследования бюджетной обеспеченности регионов, то есть показатели достаточности собственных доходов бюджета, его дефицитности, рассчитанные по предыдущему году, но при этом отсутствует анализ структуры доходов бюджета, их постоянства, причин, вызвавших изменение этих показателей по сравнению с предыдущими периодами. Доля бюджетных показателей в сводной оценке инвестиционной привлекательности очень мала.</w:t>
      </w:r>
    </w:p>
    <w:p w:rsidR="00881DA5" w:rsidRPr="00881DA5" w:rsidRDefault="00881DA5" w:rsidP="00D07B7A">
      <w:pPr>
        <w:widowControl w:val="0"/>
        <w:spacing w:after="100" w:afterAutospacing="1" w:line="312" w:lineRule="auto"/>
        <w:ind w:firstLine="709"/>
        <w:contextualSpacing/>
        <w:jc w:val="both"/>
        <w:rPr>
          <w:bCs/>
          <w:iCs/>
          <w:sz w:val="28"/>
          <w:szCs w:val="28"/>
          <w:lang w:bidi="ru-RU"/>
        </w:rPr>
      </w:pPr>
      <w:r w:rsidRPr="00881DA5">
        <w:rPr>
          <w:bCs/>
          <w:iCs/>
          <w:sz w:val="28"/>
          <w:szCs w:val="28"/>
          <w:lang w:bidi="ru-RU"/>
        </w:rPr>
        <w:t>В исследовании ЦЭА «Интерфакс» проводится подробная оценка состояния региональных экономик и бюджетных показателей, но при этом основное внимание уделяется таким показателям, как валовой региональный продукт, объем инвестиций, объем собственных бюджетных доходов, доля трансфертов в доходах бюджета. Рейтинг, построенный на основе этих показателей, несомненно, позволяет дать представление о состоянии экономики региона, но не может ответить на вопрос, насколько устойчив региональный бюджет, так как не отражает факторов, на него влияющих.</w:t>
      </w:r>
    </w:p>
    <w:p w:rsidR="00881DA5" w:rsidRPr="00881DA5" w:rsidRDefault="00881DA5" w:rsidP="00D07B7A">
      <w:pPr>
        <w:widowControl w:val="0"/>
        <w:spacing w:after="100" w:afterAutospacing="1" w:line="312" w:lineRule="auto"/>
        <w:ind w:firstLine="709"/>
        <w:contextualSpacing/>
        <w:jc w:val="both"/>
        <w:rPr>
          <w:bCs/>
          <w:iCs/>
          <w:sz w:val="28"/>
          <w:szCs w:val="28"/>
          <w:lang w:bidi="ru-RU"/>
        </w:rPr>
      </w:pPr>
      <w:r w:rsidRPr="00881DA5">
        <w:rPr>
          <w:bCs/>
          <w:iCs/>
          <w:sz w:val="28"/>
          <w:szCs w:val="28"/>
          <w:lang w:bidi="ru-RU"/>
        </w:rPr>
        <w:t>Рейтинговое агентство «ЕА-Ratings» является партнером крупнейшего мирового агентства «Standard &amp; Poor's» в России - признанного лидера в оценке кредитоспособности правительств 83 стран и территорий. В основе своей методики оценки устойчивости бюджета агентство «ЕА- Ratings» использует как подходы, применяемые «Standard &amp; Poor's», такие, как оценка долговой нагрузки, инфляции, динамики курса национальной валюты, структуры долга, так и собственные показатели - зависимость бюджета от крупных налогоплательщиков и доля занятого в работе у них населения, доля «живых» денег в доходах бюджета. Разработанная агентством система показателей является наиболее полной из всех существующих и позволяет проводить многофакторную оценку устойчивости бюджета. Однако следует заметить, что в применяемом подходе отсутствуют показатели, оценивающие эффективность деятельности органов власти, их способность профессионально управлять финансами, что является недостатком указанной методики.</w:t>
      </w:r>
    </w:p>
    <w:p w:rsidR="00712910" w:rsidRPr="005E2CA5" w:rsidRDefault="00626972" w:rsidP="00D07B7A">
      <w:pPr>
        <w:widowControl w:val="0"/>
        <w:spacing w:after="100" w:afterAutospacing="1" w:line="312" w:lineRule="auto"/>
        <w:ind w:firstLine="709"/>
        <w:contextualSpacing/>
        <w:jc w:val="both"/>
        <w:rPr>
          <w:bCs/>
          <w:iCs/>
          <w:sz w:val="28"/>
          <w:szCs w:val="28"/>
          <w:lang w:bidi="ru-RU"/>
        </w:rPr>
      </w:pPr>
      <w:r>
        <w:rPr>
          <w:bCs/>
          <w:iCs/>
          <w:sz w:val="28"/>
          <w:szCs w:val="28"/>
          <w:lang w:bidi="ru-RU"/>
        </w:rPr>
        <w:t xml:space="preserve">2. </w:t>
      </w:r>
      <w:r w:rsidR="00712910">
        <w:rPr>
          <w:bCs/>
          <w:iCs/>
          <w:sz w:val="28"/>
          <w:szCs w:val="28"/>
          <w:lang w:bidi="ru-RU"/>
        </w:rPr>
        <w:t>На текущий момент существует несколько крупных международных и ряд российских рейтинговых агентств, которые занимаются присвоением рейтингов кредитоспособности российским регионам и муниципальным образованиям, а также конкретным долговым обязательствам, эмитированным данным регионом или муниципальным образованием.</w:t>
      </w:r>
    </w:p>
    <w:p w:rsidR="00712910" w:rsidRDefault="00712910" w:rsidP="00D07B7A">
      <w:pPr>
        <w:widowControl w:val="0"/>
        <w:spacing w:after="100" w:afterAutospacing="1" w:line="312" w:lineRule="auto"/>
        <w:ind w:firstLine="709"/>
        <w:contextualSpacing/>
        <w:jc w:val="both"/>
        <w:rPr>
          <w:bCs/>
          <w:iCs/>
          <w:sz w:val="28"/>
          <w:szCs w:val="28"/>
          <w:lang w:bidi="ru-RU"/>
        </w:rPr>
      </w:pPr>
      <w:r w:rsidRPr="00F238F5">
        <w:rPr>
          <w:bCs/>
          <w:iCs/>
          <w:sz w:val="28"/>
          <w:szCs w:val="28"/>
          <w:lang w:bidi="ru-RU"/>
        </w:rPr>
        <w:t>Для анализа методологий были отобраны методологии российских рейтинговых агентств, действующих в рамках Федерального закона от 13</w:t>
      </w:r>
      <w:r w:rsidR="00626972">
        <w:rPr>
          <w:bCs/>
          <w:iCs/>
          <w:sz w:val="28"/>
          <w:szCs w:val="28"/>
          <w:lang w:bidi="ru-RU"/>
        </w:rPr>
        <w:t xml:space="preserve"> июля </w:t>
      </w:r>
      <w:r w:rsidRPr="00F238F5">
        <w:rPr>
          <w:bCs/>
          <w:iCs/>
          <w:sz w:val="28"/>
          <w:szCs w:val="28"/>
          <w:lang w:bidi="ru-RU"/>
        </w:rPr>
        <w:t>2015 г. №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АКРА</w:t>
      </w:r>
      <w:r w:rsidR="009A0C83">
        <w:rPr>
          <w:rStyle w:val="a5"/>
          <w:rFonts w:eastAsia="Calibri"/>
          <w:sz w:val="28"/>
          <w:szCs w:val="28"/>
          <w:lang w:eastAsia="en-US"/>
        </w:rPr>
        <w:footnoteReference w:id="3"/>
      </w:r>
      <w:r w:rsidRPr="00F238F5">
        <w:rPr>
          <w:bCs/>
          <w:iCs/>
          <w:sz w:val="28"/>
          <w:szCs w:val="28"/>
          <w:lang w:bidi="ru-RU"/>
        </w:rPr>
        <w:t>, АО «Эксперт РА», ООО «Национальные кредитные рейтинги» (далее –Агентства), а также ООО «РАЭКС-Аналитика» и Агентство стратегических инициатив.</w:t>
      </w:r>
    </w:p>
    <w:p w:rsidR="009A0C83" w:rsidRDefault="009A0C83" w:rsidP="00D07B7A">
      <w:pPr>
        <w:spacing w:line="312" w:lineRule="auto"/>
        <w:ind w:firstLine="709"/>
        <w:jc w:val="both"/>
        <w:outlineLvl w:val="2"/>
        <w:rPr>
          <w:sz w:val="28"/>
          <w:szCs w:val="28"/>
        </w:rPr>
      </w:pPr>
      <w:r>
        <w:rPr>
          <w:sz w:val="28"/>
          <w:szCs w:val="28"/>
        </w:rPr>
        <w:t xml:space="preserve">Среди приведенных методологий можно </w:t>
      </w:r>
      <w:r w:rsidRPr="00F43F99">
        <w:rPr>
          <w:sz w:val="28"/>
          <w:szCs w:val="28"/>
        </w:rPr>
        <w:t xml:space="preserve">выделить </w:t>
      </w:r>
      <w:r>
        <w:rPr>
          <w:sz w:val="28"/>
          <w:szCs w:val="28"/>
        </w:rPr>
        <w:t>общие черты в структуре проводимого анализа. Например, анализируемые блоки информации, используемые при расчетах. относятся к экономическим, финансовым, стратегическим факторам, а также внутренним и внешним факторам и факторам</w:t>
      </w:r>
      <w:r w:rsidRPr="00F43F99">
        <w:rPr>
          <w:sz w:val="28"/>
          <w:szCs w:val="28"/>
        </w:rPr>
        <w:t xml:space="preserve"> поддержки</w:t>
      </w:r>
      <w:r>
        <w:rPr>
          <w:sz w:val="28"/>
          <w:szCs w:val="28"/>
        </w:rPr>
        <w:t>.</w:t>
      </w:r>
    </w:p>
    <w:p w:rsidR="009A0C83" w:rsidRDefault="009A0C83" w:rsidP="00D07B7A">
      <w:pPr>
        <w:spacing w:line="312" w:lineRule="auto"/>
        <w:ind w:firstLine="709"/>
        <w:jc w:val="both"/>
        <w:outlineLvl w:val="2"/>
        <w:rPr>
          <w:sz w:val="28"/>
          <w:szCs w:val="28"/>
        </w:rPr>
      </w:pPr>
      <w:r>
        <w:rPr>
          <w:sz w:val="28"/>
          <w:szCs w:val="28"/>
        </w:rPr>
        <w:t>При оценке финансовых факторов рейтинговыми агентствами анализируются показатели сбалансированности бюджета, долговой нагрузки и ликвидности.</w:t>
      </w:r>
    </w:p>
    <w:p w:rsidR="009A0C83" w:rsidRDefault="009A0C83" w:rsidP="00D07B7A">
      <w:pPr>
        <w:spacing w:line="312" w:lineRule="auto"/>
        <w:ind w:firstLine="709"/>
        <w:jc w:val="both"/>
        <w:rPr>
          <w:rFonts w:eastAsia="Calibri"/>
          <w:sz w:val="28"/>
          <w:szCs w:val="28"/>
          <w:lang w:eastAsia="en-US"/>
        </w:rPr>
      </w:pPr>
      <w:r>
        <w:rPr>
          <w:rFonts w:eastAsia="Calibri"/>
          <w:sz w:val="28"/>
          <w:szCs w:val="28"/>
          <w:lang w:eastAsia="en-US"/>
        </w:rPr>
        <w:t>Некоторые рейтинговые агентства при оценке кредитоспособности региона рассматривают ряд показателей, характеризующих его экономическое и социальное положение.</w:t>
      </w:r>
    </w:p>
    <w:p w:rsidR="009A0C83" w:rsidRDefault="009A0C83" w:rsidP="00D07B7A">
      <w:pPr>
        <w:spacing w:line="312" w:lineRule="auto"/>
        <w:ind w:firstLine="709"/>
        <w:jc w:val="both"/>
        <w:rPr>
          <w:rFonts w:eastAsia="Calibri"/>
          <w:sz w:val="28"/>
          <w:szCs w:val="28"/>
          <w:lang w:eastAsia="en-US"/>
        </w:rPr>
      </w:pPr>
      <w:r>
        <w:rPr>
          <w:rFonts w:eastAsia="Calibri"/>
          <w:sz w:val="28"/>
          <w:szCs w:val="28"/>
          <w:lang w:eastAsia="en-US"/>
        </w:rPr>
        <w:t>Так, АКРА рассматривает ВРП региона, размер заработной платы работников организаций, прожиточный минимум в регионе, что частично перекликается со следующими показателями, применяемыми при оценке эффективности деятельности высших должностных лиц и органов исполнительной власти субъектов Российской Федерации: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«Уровень реальной заработной платы», «Уровень бедности».</w:t>
      </w:r>
    </w:p>
    <w:p w:rsidR="00010940" w:rsidRPr="00010940" w:rsidRDefault="00010940" w:rsidP="00010940">
      <w:pPr>
        <w:spacing w:line="312" w:lineRule="auto"/>
        <w:ind w:firstLine="709"/>
        <w:jc w:val="both"/>
        <w:rPr>
          <w:rFonts w:eastAsia="Calibri"/>
          <w:sz w:val="28"/>
          <w:szCs w:val="28"/>
          <w:lang w:eastAsia="en-US"/>
        </w:rPr>
      </w:pPr>
      <w:r w:rsidRPr="00010940">
        <w:rPr>
          <w:rFonts w:eastAsia="Calibri"/>
          <w:sz w:val="28"/>
          <w:szCs w:val="28"/>
          <w:lang w:eastAsia="en-US"/>
        </w:rPr>
        <w:t>Методология АО «Эксперт РА» определяет рейтинговое число на основании оценки по 4 разделам: социально-экономический, финансовый, стратегический и внутренние стресс-факторы. Рейтинг определяется по 8</w:t>
      </w:r>
      <w:r w:rsidR="000A292B">
        <w:rPr>
          <w:rFonts w:eastAsia="Calibri"/>
          <w:sz w:val="28"/>
          <w:szCs w:val="28"/>
          <w:lang w:eastAsia="en-US"/>
        </w:rPr>
        <w:t> </w:t>
      </w:r>
      <w:r w:rsidRPr="00010940">
        <w:rPr>
          <w:rFonts w:eastAsia="Calibri"/>
          <w:sz w:val="28"/>
          <w:szCs w:val="28"/>
          <w:lang w:eastAsia="en-US"/>
        </w:rPr>
        <w:t>категориям национальной шкалы Российской Федерации.</w:t>
      </w:r>
    </w:p>
    <w:p w:rsidR="00010940" w:rsidRPr="00010940" w:rsidRDefault="00010940" w:rsidP="00010940">
      <w:pPr>
        <w:spacing w:line="312" w:lineRule="auto"/>
        <w:ind w:firstLine="709"/>
        <w:jc w:val="both"/>
        <w:rPr>
          <w:rFonts w:eastAsia="Calibri"/>
          <w:sz w:val="28"/>
          <w:szCs w:val="28"/>
          <w:lang w:eastAsia="en-US"/>
        </w:rPr>
      </w:pPr>
      <w:r w:rsidRPr="00010940">
        <w:rPr>
          <w:rFonts w:eastAsia="Calibri"/>
          <w:sz w:val="28"/>
          <w:szCs w:val="28"/>
          <w:lang w:eastAsia="en-US"/>
        </w:rPr>
        <w:t>Методология АКРА разработана для проведения оценки экономического и финансового профиля субъекта (муниципального образования) и присваивает рейтинг по 17-ступенчатой шкале, соответствующей национальной шкале АКРА.</w:t>
      </w:r>
    </w:p>
    <w:p w:rsidR="00010940" w:rsidRPr="00010940" w:rsidRDefault="00010940" w:rsidP="00010940">
      <w:pPr>
        <w:spacing w:line="312" w:lineRule="auto"/>
        <w:ind w:firstLine="709"/>
        <w:jc w:val="both"/>
        <w:rPr>
          <w:rFonts w:eastAsia="Calibri"/>
          <w:sz w:val="28"/>
          <w:szCs w:val="28"/>
          <w:lang w:eastAsia="en-US"/>
        </w:rPr>
      </w:pPr>
      <w:r w:rsidRPr="00010940">
        <w:rPr>
          <w:rFonts w:eastAsia="Calibri"/>
          <w:sz w:val="28"/>
          <w:szCs w:val="28"/>
          <w:lang w:eastAsia="en-US"/>
        </w:rPr>
        <w:t xml:space="preserve">Методология ООО «НКР» применяется для оценки кредитоспособности субъекта Российской Федерации по 4  факторам: гибкость бюджета, долговая нагрузка, региональная экономика и история управления долгом и ликвидностью. Рейтинг присваивается объекту </w:t>
      </w:r>
      <w:proofErr w:type="spellStart"/>
      <w:r w:rsidRPr="00010940">
        <w:rPr>
          <w:rFonts w:eastAsia="Calibri"/>
          <w:sz w:val="28"/>
          <w:szCs w:val="28"/>
          <w:lang w:eastAsia="en-US"/>
        </w:rPr>
        <w:t>рейтингования</w:t>
      </w:r>
      <w:proofErr w:type="spellEnd"/>
      <w:r w:rsidRPr="00010940">
        <w:rPr>
          <w:rFonts w:eastAsia="Calibri"/>
          <w:sz w:val="28"/>
          <w:szCs w:val="28"/>
          <w:lang w:eastAsia="en-US"/>
        </w:rPr>
        <w:t xml:space="preserve"> </w:t>
      </w:r>
      <w:r w:rsidR="000A292B">
        <w:rPr>
          <w:rFonts w:eastAsia="Calibri"/>
          <w:sz w:val="28"/>
          <w:szCs w:val="28"/>
          <w:lang w:eastAsia="en-US"/>
        </w:rPr>
        <w:t>по 10 категориям, содержащих 20 </w:t>
      </w:r>
      <w:r w:rsidRPr="00010940">
        <w:rPr>
          <w:rFonts w:eastAsia="Calibri"/>
          <w:sz w:val="28"/>
          <w:szCs w:val="28"/>
          <w:lang w:eastAsia="en-US"/>
        </w:rPr>
        <w:t>уровней.</w:t>
      </w:r>
    </w:p>
    <w:p w:rsidR="00626972" w:rsidRPr="00D07B7A" w:rsidRDefault="00626972" w:rsidP="00D07B7A">
      <w:pPr>
        <w:widowControl w:val="0"/>
        <w:spacing w:after="100" w:afterAutospacing="1" w:line="312" w:lineRule="auto"/>
        <w:ind w:firstLine="709"/>
        <w:contextualSpacing/>
        <w:jc w:val="both"/>
        <w:rPr>
          <w:bCs/>
          <w:iCs/>
          <w:sz w:val="28"/>
          <w:szCs w:val="28"/>
          <w:lang w:bidi="ru-RU"/>
        </w:rPr>
      </w:pPr>
      <w:r w:rsidRPr="00D07B7A">
        <w:rPr>
          <w:bCs/>
          <w:iCs/>
          <w:sz w:val="28"/>
          <w:szCs w:val="28"/>
          <w:lang w:bidi="ru-RU"/>
        </w:rPr>
        <w:t>Сводная информация по методологии присвоения рейтинга субъектам Российской Федерации представлена в таблице 1 (в конце приложения).</w:t>
      </w:r>
    </w:p>
    <w:p w:rsidR="00AA5FD5" w:rsidRPr="00F238F5" w:rsidRDefault="00626972" w:rsidP="00D07B7A">
      <w:pPr>
        <w:widowControl w:val="0"/>
        <w:spacing w:after="100" w:afterAutospacing="1" w:line="312" w:lineRule="auto"/>
        <w:ind w:firstLine="709"/>
        <w:contextualSpacing/>
        <w:jc w:val="both"/>
        <w:rPr>
          <w:bCs/>
          <w:iCs/>
          <w:sz w:val="28"/>
          <w:szCs w:val="28"/>
          <w:lang w:bidi="ru-RU"/>
        </w:rPr>
      </w:pPr>
      <w:r>
        <w:rPr>
          <w:bCs/>
          <w:iCs/>
          <w:sz w:val="28"/>
          <w:szCs w:val="28"/>
          <w:lang w:bidi="ru-RU"/>
        </w:rPr>
        <w:t xml:space="preserve">2.1. </w:t>
      </w:r>
      <w:r w:rsidR="00AA5FD5" w:rsidRPr="00F238F5">
        <w:rPr>
          <w:bCs/>
          <w:iCs/>
          <w:sz w:val="28"/>
          <w:szCs w:val="28"/>
          <w:lang w:bidi="ru-RU"/>
        </w:rPr>
        <w:t xml:space="preserve">Кредитное рейтинговое агентство АО «Эксперт РА». </w:t>
      </w:r>
    </w:p>
    <w:p w:rsidR="00AA5FD5" w:rsidRPr="00F238F5" w:rsidRDefault="00626972" w:rsidP="00D07B7A">
      <w:pPr>
        <w:widowControl w:val="0"/>
        <w:spacing w:after="100" w:afterAutospacing="1" w:line="312" w:lineRule="auto"/>
        <w:ind w:firstLine="709"/>
        <w:contextualSpacing/>
        <w:jc w:val="both"/>
        <w:rPr>
          <w:bCs/>
          <w:iCs/>
          <w:sz w:val="28"/>
          <w:szCs w:val="28"/>
          <w:lang w:bidi="ru-RU"/>
        </w:rPr>
      </w:pPr>
      <w:r>
        <w:rPr>
          <w:bCs/>
          <w:iCs/>
          <w:sz w:val="28"/>
          <w:szCs w:val="28"/>
          <w:lang w:bidi="ru-RU"/>
        </w:rPr>
        <w:t>Н</w:t>
      </w:r>
      <w:r w:rsidR="00AA5FD5" w:rsidRPr="00F238F5">
        <w:rPr>
          <w:bCs/>
          <w:iCs/>
          <w:sz w:val="28"/>
          <w:szCs w:val="28"/>
          <w:lang w:bidi="ru-RU"/>
        </w:rPr>
        <w:t xml:space="preserve">а официальном интернет-сайте агентства </w:t>
      </w:r>
      <w:hyperlink r:id="rId9" w:history="1">
        <w:r w:rsidR="00AA5FD5" w:rsidRPr="00F238F5">
          <w:rPr>
            <w:bCs/>
            <w:iCs/>
            <w:lang w:bidi="ru-RU"/>
          </w:rPr>
          <w:t>https://raexpert.ru/</w:t>
        </w:r>
      </w:hyperlink>
      <w:r w:rsidR="00AA5FD5" w:rsidRPr="00F238F5">
        <w:rPr>
          <w:bCs/>
          <w:iCs/>
          <w:sz w:val="28"/>
          <w:szCs w:val="28"/>
          <w:lang w:bidi="ru-RU"/>
        </w:rPr>
        <w:t xml:space="preserve"> в разделе «Региональные Финансы» публикуются рейтинги кредитоспособности региона (муниципалитета). </w:t>
      </w:r>
    </w:p>
    <w:p w:rsidR="00AA5FD5" w:rsidRPr="00F238F5" w:rsidRDefault="00AA5FD5" w:rsidP="00D07B7A">
      <w:pPr>
        <w:widowControl w:val="0"/>
        <w:spacing w:after="100" w:afterAutospacing="1" w:line="312" w:lineRule="auto"/>
        <w:ind w:firstLine="709"/>
        <w:contextualSpacing/>
        <w:jc w:val="both"/>
        <w:rPr>
          <w:bCs/>
          <w:iCs/>
          <w:sz w:val="28"/>
          <w:szCs w:val="28"/>
          <w:lang w:bidi="ru-RU"/>
        </w:rPr>
      </w:pPr>
      <w:r w:rsidRPr="00F238F5">
        <w:rPr>
          <w:bCs/>
          <w:iCs/>
          <w:sz w:val="28"/>
          <w:szCs w:val="28"/>
          <w:lang w:bidi="ru-RU"/>
        </w:rPr>
        <w:t>Согласно Методологии присвоения рейтингов кредитоспособности региональным и муниципальным органам власти Российской Федерации, используемой АО «Эксперт РА», утвержденной на заседании методологического комитета</w:t>
      </w:r>
      <w:r w:rsidR="00626972">
        <w:rPr>
          <w:bCs/>
          <w:iCs/>
          <w:sz w:val="28"/>
          <w:szCs w:val="28"/>
          <w:lang w:bidi="ru-RU"/>
        </w:rPr>
        <w:t>,</w:t>
      </w:r>
      <w:r w:rsidRPr="00F238F5">
        <w:rPr>
          <w:bCs/>
          <w:iCs/>
          <w:sz w:val="28"/>
          <w:szCs w:val="28"/>
          <w:lang w:bidi="ru-RU"/>
        </w:rPr>
        <w:t xml:space="preserve"> </w:t>
      </w:r>
      <w:r w:rsidR="00626972" w:rsidRPr="00F238F5">
        <w:rPr>
          <w:bCs/>
          <w:iCs/>
          <w:sz w:val="28"/>
          <w:szCs w:val="28"/>
          <w:lang w:bidi="ru-RU"/>
        </w:rPr>
        <w:t>от 26</w:t>
      </w:r>
      <w:r w:rsidR="00626972">
        <w:rPr>
          <w:bCs/>
          <w:iCs/>
          <w:sz w:val="28"/>
          <w:szCs w:val="28"/>
          <w:lang w:bidi="ru-RU"/>
        </w:rPr>
        <w:t xml:space="preserve"> мая </w:t>
      </w:r>
      <w:r w:rsidR="00626972" w:rsidRPr="00F238F5">
        <w:rPr>
          <w:bCs/>
          <w:iCs/>
          <w:sz w:val="28"/>
          <w:szCs w:val="28"/>
          <w:lang w:bidi="ru-RU"/>
        </w:rPr>
        <w:t>2021</w:t>
      </w:r>
      <w:r w:rsidR="00626972">
        <w:rPr>
          <w:bCs/>
          <w:iCs/>
          <w:sz w:val="28"/>
          <w:szCs w:val="28"/>
          <w:lang w:bidi="ru-RU"/>
        </w:rPr>
        <w:t xml:space="preserve"> года</w:t>
      </w:r>
      <w:r w:rsidR="00626972" w:rsidRPr="00F238F5">
        <w:rPr>
          <w:bCs/>
          <w:iCs/>
          <w:sz w:val="28"/>
          <w:szCs w:val="28"/>
          <w:lang w:bidi="ru-RU"/>
        </w:rPr>
        <w:t xml:space="preserve"> </w:t>
      </w:r>
      <w:r w:rsidRPr="00F238F5">
        <w:rPr>
          <w:bCs/>
          <w:iCs/>
          <w:sz w:val="28"/>
          <w:szCs w:val="28"/>
          <w:lang w:bidi="ru-RU"/>
        </w:rPr>
        <w:t xml:space="preserve">№ 291 рейтинг кредитоспособности региона (муниципалитета) представляет собой мнение кредитного рейтингового агентства «Эксперт РА» о способности региона (муниципалитета) своевременно и в полном объеме выполнять свои финансовые обязательства. </w:t>
      </w:r>
    </w:p>
    <w:p w:rsidR="00AA5FD5" w:rsidRPr="00F238F5" w:rsidRDefault="00AA5FD5" w:rsidP="00D07B7A">
      <w:pPr>
        <w:widowControl w:val="0"/>
        <w:spacing w:after="100" w:afterAutospacing="1" w:line="312" w:lineRule="auto"/>
        <w:ind w:firstLine="709"/>
        <w:contextualSpacing/>
        <w:jc w:val="both"/>
        <w:rPr>
          <w:bCs/>
          <w:iCs/>
          <w:sz w:val="28"/>
          <w:szCs w:val="28"/>
          <w:lang w:bidi="ru-RU"/>
        </w:rPr>
      </w:pPr>
      <w:r w:rsidRPr="00F238F5">
        <w:rPr>
          <w:bCs/>
          <w:iCs/>
          <w:sz w:val="28"/>
          <w:szCs w:val="28"/>
          <w:lang w:bidi="ru-RU"/>
        </w:rPr>
        <w:t>Рейтинг самостоятельной кредитоспособности – мнение кредитного рейтингового агентства о способности региона (муниципалитета) своевременно и в полном объеме выполнять свои финансовые обязательства без учета внешних по отношению к региону (муниципалитету) факторов (поддержка со стороны вышестоящего бюджета и др.).</w:t>
      </w:r>
    </w:p>
    <w:p w:rsidR="00AA5FD5" w:rsidRPr="00F238F5" w:rsidRDefault="00AA5FD5" w:rsidP="00D07B7A">
      <w:pPr>
        <w:widowControl w:val="0"/>
        <w:spacing w:after="100" w:afterAutospacing="1" w:line="312" w:lineRule="auto"/>
        <w:ind w:firstLine="709"/>
        <w:contextualSpacing/>
        <w:jc w:val="both"/>
        <w:rPr>
          <w:bCs/>
          <w:iCs/>
          <w:sz w:val="28"/>
          <w:szCs w:val="28"/>
          <w:lang w:bidi="ru-RU"/>
        </w:rPr>
      </w:pPr>
      <w:r w:rsidRPr="00F238F5">
        <w:rPr>
          <w:bCs/>
          <w:iCs/>
          <w:sz w:val="28"/>
          <w:szCs w:val="28"/>
          <w:lang w:bidi="ru-RU"/>
        </w:rPr>
        <w:t xml:space="preserve">Логическая схема анализа кредитоспособности региона (муниципалитета) АО «Эксперт РА» включает анализ социально-экономических рисков, анализ финансовых рисков, стратегию и </w:t>
      </w:r>
      <w:proofErr w:type="spellStart"/>
      <w:r w:rsidRPr="00F238F5">
        <w:rPr>
          <w:bCs/>
          <w:iCs/>
          <w:sz w:val="28"/>
          <w:szCs w:val="28"/>
          <w:lang w:bidi="ru-RU"/>
        </w:rPr>
        <w:t>транспарентность</w:t>
      </w:r>
      <w:proofErr w:type="spellEnd"/>
      <w:r w:rsidRPr="00F238F5">
        <w:rPr>
          <w:bCs/>
          <w:iCs/>
          <w:sz w:val="28"/>
          <w:szCs w:val="28"/>
          <w:lang w:bidi="ru-RU"/>
        </w:rPr>
        <w:t>, а также внутренние и внешние стресс-факторы и факторы поддержки.</w:t>
      </w:r>
    </w:p>
    <w:p w:rsidR="00AA5FD5" w:rsidRDefault="00AA5FD5" w:rsidP="00D07B7A">
      <w:pPr>
        <w:widowControl w:val="0"/>
        <w:spacing w:after="100" w:afterAutospacing="1" w:line="312" w:lineRule="auto"/>
        <w:ind w:firstLine="709"/>
        <w:contextualSpacing/>
        <w:jc w:val="both"/>
        <w:rPr>
          <w:bCs/>
          <w:iCs/>
          <w:sz w:val="28"/>
          <w:szCs w:val="28"/>
          <w:lang w:bidi="ru-RU"/>
        </w:rPr>
      </w:pPr>
      <w:r w:rsidRPr="00F238F5">
        <w:rPr>
          <w:bCs/>
          <w:iCs/>
          <w:sz w:val="28"/>
          <w:szCs w:val="28"/>
          <w:lang w:bidi="ru-RU"/>
        </w:rPr>
        <w:t>В рамках анализа финансовых рисков оцениваются сбалансированность бюджета и долговая нагрузка.</w:t>
      </w:r>
    </w:p>
    <w:p w:rsidR="007A3802" w:rsidRPr="00ED7FBF" w:rsidRDefault="007A3802" w:rsidP="00D07B7A">
      <w:pPr>
        <w:spacing w:line="312" w:lineRule="auto"/>
        <w:ind w:firstLine="709"/>
        <w:jc w:val="both"/>
        <w:rPr>
          <w:sz w:val="28"/>
          <w:szCs w:val="28"/>
        </w:rPr>
      </w:pPr>
      <w:r w:rsidRPr="00ED7FBF">
        <w:rPr>
          <w:sz w:val="28"/>
          <w:szCs w:val="28"/>
        </w:rPr>
        <w:t>Источники информации</w:t>
      </w:r>
      <w:r>
        <w:rPr>
          <w:sz w:val="28"/>
          <w:szCs w:val="28"/>
        </w:rPr>
        <w:t xml:space="preserve"> - о</w:t>
      </w:r>
      <w:r w:rsidRPr="00ED7FBF">
        <w:rPr>
          <w:sz w:val="28"/>
          <w:szCs w:val="28"/>
        </w:rPr>
        <w:t>тчеты об исполнении бюджета субъекта Российской Федерации / муниципалитета.</w:t>
      </w:r>
    </w:p>
    <w:p w:rsidR="00AA5FD5" w:rsidRPr="00ED7FBF" w:rsidRDefault="00626972" w:rsidP="00D07B7A">
      <w:pPr>
        <w:spacing w:line="312" w:lineRule="auto"/>
        <w:ind w:firstLine="709"/>
        <w:jc w:val="both"/>
        <w:rPr>
          <w:sz w:val="28"/>
          <w:szCs w:val="28"/>
        </w:rPr>
      </w:pPr>
      <w:r w:rsidRPr="00ED7FBF">
        <w:rPr>
          <w:sz w:val="28"/>
          <w:szCs w:val="28"/>
        </w:rPr>
        <w:t>2.1.</w:t>
      </w:r>
      <w:r w:rsidR="00AA5FD5" w:rsidRPr="00ED7FBF">
        <w:rPr>
          <w:sz w:val="28"/>
          <w:szCs w:val="28"/>
        </w:rPr>
        <w:t>1. Сбалансированность бюджета.</w:t>
      </w:r>
    </w:p>
    <w:p w:rsidR="00AA5FD5" w:rsidRPr="00ED7FBF" w:rsidRDefault="00AA5FD5" w:rsidP="00D07B7A">
      <w:pPr>
        <w:spacing w:line="312" w:lineRule="auto"/>
        <w:ind w:firstLine="709"/>
        <w:jc w:val="both"/>
        <w:rPr>
          <w:sz w:val="28"/>
          <w:szCs w:val="28"/>
        </w:rPr>
      </w:pPr>
      <w:r w:rsidRPr="00ED7FBF">
        <w:rPr>
          <w:sz w:val="28"/>
          <w:szCs w:val="28"/>
        </w:rPr>
        <w:t>1</w:t>
      </w:r>
      <w:r w:rsidR="007A3802">
        <w:rPr>
          <w:sz w:val="28"/>
          <w:szCs w:val="28"/>
        </w:rPr>
        <w:t>)</w:t>
      </w:r>
      <w:r w:rsidRPr="00ED7FBF">
        <w:rPr>
          <w:sz w:val="28"/>
          <w:szCs w:val="28"/>
        </w:rPr>
        <w:t> Доля налоговых и неналоговых доходов в доходах бюджета.</w:t>
      </w:r>
    </w:p>
    <w:p w:rsidR="00AA5FD5" w:rsidRPr="00ED7FBF" w:rsidRDefault="00AA5FD5" w:rsidP="00D07B7A">
      <w:pPr>
        <w:spacing w:line="312" w:lineRule="auto"/>
        <w:ind w:firstLine="709"/>
        <w:jc w:val="both"/>
        <w:rPr>
          <w:sz w:val="28"/>
          <w:szCs w:val="28"/>
        </w:rPr>
      </w:pPr>
      <w:r w:rsidRPr="00ED7FBF">
        <w:rPr>
          <w:sz w:val="28"/>
          <w:szCs w:val="28"/>
        </w:rPr>
        <w:t>Цель анализа</w:t>
      </w:r>
      <w:r w:rsidR="007A3802">
        <w:rPr>
          <w:sz w:val="28"/>
          <w:szCs w:val="28"/>
        </w:rPr>
        <w:t xml:space="preserve"> - оц</w:t>
      </w:r>
      <w:r w:rsidRPr="00ED7FBF">
        <w:rPr>
          <w:sz w:val="28"/>
          <w:szCs w:val="28"/>
        </w:rPr>
        <w:t xml:space="preserve">енить степень самостоятельности доходной части бюджета. </w:t>
      </w:r>
      <w:proofErr w:type="spellStart"/>
      <w:r w:rsidRPr="00ED7FBF">
        <w:rPr>
          <w:sz w:val="28"/>
          <w:szCs w:val="28"/>
        </w:rPr>
        <w:t>Бóльшая</w:t>
      </w:r>
      <w:proofErr w:type="spellEnd"/>
      <w:r w:rsidRPr="00ED7FBF">
        <w:rPr>
          <w:sz w:val="28"/>
          <w:szCs w:val="28"/>
        </w:rPr>
        <w:t xml:space="preserve"> автономия бюджета объекта рейтинга свидетельствует о более высокой эффективности его бюджета, что оценивается положительно в рамках модели.</w:t>
      </w:r>
    </w:p>
    <w:p w:rsidR="00AA5FD5" w:rsidRPr="00ED7FBF" w:rsidRDefault="00AA5FD5" w:rsidP="00D07B7A">
      <w:pPr>
        <w:spacing w:line="312" w:lineRule="auto"/>
        <w:ind w:firstLine="709"/>
        <w:jc w:val="both"/>
        <w:rPr>
          <w:sz w:val="28"/>
          <w:szCs w:val="28"/>
        </w:rPr>
      </w:pPr>
      <w:r w:rsidRPr="00ED7FBF">
        <w:rPr>
          <w:sz w:val="28"/>
          <w:szCs w:val="28"/>
        </w:rPr>
        <w:t>Алгоритм выставления оценки</w:t>
      </w:r>
      <w:r w:rsidR="007A3802">
        <w:rPr>
          <w:sz w:val="28"/>
          <w:szCs w:val="28"/>
        </w:rPr>
        <w:t>: о</w:t>
      </w:r>
      <w:r w:rsidRPr="00ED7FBF">
        <w:rPr>
          <w:sz w:val="28"/>
          <w:szCs w:val="28"/>
        </w:rPr>
        <w:t xml:space="preserve">ценивается доля налоговых и неналоговых доходов в доходах бюджета за последний завершившийся год. </w:t>
      </w:r>
    </w:p>
    <w:p w:rsidR="00AA5FD5" w:rsidRPr="00ED7FBF" w:rsidRDefault="00AA5FD5" w:rsidP="00D07B7A">
      <w:pPr>
        <w:spacing w:line="312" w:lineRule="auto"/>
        <w:ind w:firstLine="709"/>
        <w:jc w:val="both"/>
        <w:rPr>
          <w:sz w:val="28"/>
          <w:szCs w:val="28"/>
        </w:rPr>
      </w:pPr>
      <w:r w:rsidRPr="00ED7FBF">
        <w:rPr>
          <w:sz w:val="28"/>
          <w:szCs w:val="28"/>
        </w:rPr>
        <w:t>2</w:t>
      </w:r>
      <w:r w:rsidR="007A3802">
        <w:rPr>
          <w:sz w:val="28"/>
          <w:szCs w:val="28"/>
        </w:rPr>
        <w:t>)</w:t>
      </w:r>
      <w:r w:rsidRPr="00ED7FBF">
        <w:rPr>
          <w:sz w:val="28"/>
          <w:szCs w:val="28"/>
        </w:rPr>
        <w:t> Структура расходов.</w:t>
      </w:r>
    </w:p>
    <w:p w:rsidR="00AA5FD5" w:rsidRPr="00ED7FBF" w:rsidRDefault="00AA5FD5" w:rsidP="00D07B7A">
      <w:pPr>
        <w:spacing w:line="312" w:lineRule="auto"/>
        <w:ind w:firstLine="709"/>
        <w:jc w:val="both"/>
        <w:rPr>
          <w:sz w:val="28"/>
          <w:szCs w:val="28"/>
        </w:rPr>
      </w:pPr>
      <w:r w:rsidRPr="00ED7FBF">
        <w:rPr>
          <w:sz w:val="28"/>
          <w:szCs w:val="28"/>
        </w:rPr>
        <w:t>Цель анализа</w:t>
      </w:r>
      <w:r w:rsidR="007A3802">
        <w:rPr>
          <w:sz w:val="28"/>
          <w:szCs w:val="28"/>
        </w:rPr>
        <w:t xml:space="preserve"> - о</w:t>
      </w:r>
      <w:r w:rsidRPr="00ED7FBF">
        <w:rPr>
          <w:sz w:val="28"/>
          <w:szCs w:val="28"/>
        </w:rPr>
        <w:t>ценить гибкость расходной части бюджета. Инвестиционные расходы, хотя и являются важным источником развития региона (муниципалитета), в случае необходимости могут быть скорректированы. Большей доле таких расходов соответствует б</w:t>
      </w:r>
      <w:r w:rsidR="000A292B">
        <w:rPr>
          <w:sz w:val="28"/>
          <w:szCs w:val="28"/>
        </w:rPr>
        <w:t>о</w:t>
      </w:r>
      <w:r w:rsidRPr="00ED7FBF">
        <w:rPr>
          <w:sz w:val="28"/>
          <w:szCs w:val="28"/>
        </w:rPr>
        <w:t xml:space="preserve">льшая гибкость бюджета, что позитивно влияет на рейтинг. </w:t>
      </w:r>
    </w:p>
    <w:p w:rsidR="00AA5FD5" w:rsidRPr="00ED7FBF" w:rsidRDefault="00AA5FD5" w:rsidP="00D07B7A">
      <w:pPr>
        <w:spacing w:line="312" w:lineRule="auto"/>
        <w:ind w:firstLine="709"/>
        <w:jc w:val="both"/>
        <w:rPr>
          <w:sz w:val="28"/>
          <w:szCs w:val="28"/>
        </w:rPr>
      </w:pPr>
      <w:r w:rsidRPr="00ED7FBF">
        <w:rPr>
          <w:sz w:val="28"/>
          <w:szCs w:val="28"/>
        </w:rPr>
        <w:t>Алгоритм выставления оценки</w:t>
      </w:r>
      <w:r w:rsidR="007A3802">
        <w:rPr>
          <w:sz w:val="28"/>
          <w:szCs w:val="28"/>
        </w:rPr>
        <w:t>: о</w:t>
      </w:r>
      <w:r w:rsidRPr="00ED7FBF">
        <w:rPr>
          <w:sz w:val="28"/>
          <w:szCs w:val="28"/>
        </w:rPr>
        <w:t xml:space="preserve">ценивается доля расходов на увеличение стоимости основных средств в расходах бюджета за последний год. </w:t>
      </w:r>
    </w:p>
    <w:p w:rsidR="00AA5FD5" w:rsidRPr="00ED7FBF" w:rsidRDefault="00AA5FD5" w:rsidP="00D07B7A">
      <w:pPr>
        <w:spacing w:line="312" w:lineRule="auto"/>
        <w:ind w:firstLine="709"/>
        <w:jc w:val="both"/>
        <w:rPr>
          <w:sz w:val="28"/>
          <w:szCs w:val="28"/>
        </w:rPr>
      </w:pPr>
      <w:r w:rsidRPr="00ED7FBF">
        <w:rPr>
          <w:sz w:val="28"/>
          <w:szCs w:val="28"/>
        </w:rPr>
        <w:t>3</w:t>
      </w:r>
      <w:r w:rsidR="007A3802">
        <w:rPr>
          <w:sz w:val="28"/>
          <w:szCs w:val="28"/>
        </w:rPr>
        <w:t>)</w:t>
      </w:r>
      <w:r w:rsidRPr="00ED7FBF">
        <w:rPr>
          <w:sz w:val="28"/>
          <w:szCs w:val="28"/>
        </w:rPr>
        <w:t> Размер профицита бюджета.</w:t>
      </w:r>
    </w:p>
    <w:p w:rsidR="00AA5FD5" w:rsidRPr="00ED7FBF" w:rsidRDefault="00AA5FD5" w:rsidP="00D07B7A">
      <w:pPr>
        <w:spacing w:line="312" w:lineRule="auto"/>
        <w:ind w:firstLine="709"/>
        <w:jc w:val="both"/>
        <w:rPr>
          <w:sz w:val="28"/>
          <w:szCs w:val="28"/>
        </w:rPr>
      </w:pPr>
      <w:r w:rsidRPr="00ED7FBF">
        <w:rPr>
          <w:sz w:val="28"/>
          <w:szCs w:val="28"/>
        </w:rPr>
        <w:t>Цель анализа</w:t>
      </w:r>
      <w:r w:rsidR="007A3802">
        <w:rPr>
          <w:sz w:val="28"/>
          <w:szCs w:val="28"/>
        </w:rPr>
        <w:t xml:space="preserve"> - о</w:t>
      </w:r>
      <w:r w:rsidRPr="00ED7FBF">
        <w:rPr>
          <w:sz w:val="28"/>
          <w:szCs w:val="28"/>
        </w:rPr>
        <w:t xml:space="preserve">ценка эффективности бюджета и наличия у него резерва свободных средств. Исполнение бюджета с профицитом создает запас активов, которые могут быть использованы для развития объекта рейтинга и погашения задолженности. Бюджетный дефицит может приводить к росту долговой нагрузки, что негативно отразится на кредитоспособности объекта рейтинга. </w:t>
      </w:r>
    </w:p>
    <w:p w:rsidR="00AA5FD5" w:rsidRPr="00ED7FBF" w:rsidRDefault="00AA5FD5" w:rsidP="00D07B7A">
      <w:pPr>
        <w:spacing w:line="312" w:lineRule="auto"/>
        <w:ind w:firstLine="709"/>
        <w:jc w:val="both"/>
        <w:rPr>
          <w:sz w:val="28"/>
          <w:szCs w:val="28"/>
        </w:rPr>
      </w:pPr>
      <w:r w:rsidRPr="00ED7FBF">
        <w:rPr>
          <w:sz w:val="28"/>
          <w:szCs w:val="28"/>
        </w:rPr>
        <w:t>Алгоритм выставления оценки</w:t>
      </w:r>
      <w:r w:rsidR="007A3802">
        <w:rPr>
          <w:sz w:val="28"/>
          <w:szCs w:val="28"/>
        </w:rPr>
        <w:t>: о</w:t>
      </w:r>
      <w:r w:rsidRPr="00ED7FBF">
        <w:rPr>
          <w:sz w:val="28"/>
          <w:szCs w:val="28"/>
        </w:rPr>
        <w:t>ценивается отношение величины профицита к налоговым и неналоговым доходам бюджета за последние два года.</w:t>
      </w:r>
    </w:p>
    <w:p w:rsidR="00AA5FD5" w:rsidRPr="00ED7FBF" w:rsidRDefault="00AA5FD5" w:rsidP="00D07B7A">
      <w:pPr>
        <w:spacing w:line="312" w:lineRule="auto"/>
        <w:ind w:firstLine="709"/>
        <w:jc w:val="both"/>
        <w:rPr>
          <w:sz w:val="28"/>
          <w:szCs w:val="28"/>
        </w:rPr>
      </w:pPr>
      <w:r w:rsidRPr="00ED7FBF">
        <w:rPr>
          <w:sz w:val="28"/>
          <w:szCs w:val="28"/>
        </w:rPr>
        <w:t>4</w:t>
      </w:r>
      <w:r w:rsidR="007A3802">
        <w:rPr>
          <w:sz w:val="28"/>
          <w:szCs w:val="28"/>
        </w:rPr>
        <w:t>)</w:t>
      </w:r>
      <w:r w:rsidRPr="00ED7FBF">
        <w:rPr>
          <w:sz w:val="28"/>
          <w:szCs w:val="28"/>
        </w:rPr>
        <w:t xml:space="preserve"> Структура трансфертов из других бюджетов. </w:t>
      </w:r>
    </w:p>
    <w:p w:rsidR="00AA5FD5" w:rsidRPr="00ED7FBF" w:rsidRDefault="00AA5FD5" w:rsidP="00D07B7A">
      <w:pPr>
        <w:spacing w:line="312" w:lineRule="auto"/>
        <w:ind w:firstLine="709"/>
        <w:jc w:val="both"/>
        <w:rPr>
          <w:sz w:val="28"/>
          <w:szCs w:val="28"/>
        </w:rPr>
      </w:pPr>
      <w:r w:rsidRPr="00ED7FBF">
        <w:rPr>
          <w:sz w:val="28"/>
          <w:szCs w:val="28"/>
        </w:rPr>
        <w:t xml:space="preserve">Цель анализа </w:t>
      </w:r>
      <w:r w:rsidR="007A3802">
        <w:rPr>
          <w:sz w:val="28"/>
          <w:szCs w:val="28"/>
        </w:rPr>
        <w:t>- о</w:t>
      </w:r>
      <w:r w:rsidRPr="00ED7FBF">
        <w:rPr>
          <w:sz w:val="28"/>
          <w:szCs w:val="28"/>
        </w:rPr>
        <w:t xml:space="preserve">ценить степень гибкости бюджета объекта рейтинга в зависимости от доминирующего типа поступающих трансфертов. Существует несколько видов трансфертов, в том числе подразумевающие целевой характер и иные условия их использования. С точки зрения объекта рейтинга меньшие ограничения по использованию трансфертов, а также отсутствие необходимости их возврата являются более предпочтительными. В силу этого более высокая доля дотаций в общем объеме трансфертов дает объекту рейтинга больше свобод, что оценивается в рамках рейтинговой модели положительно. </w:t>
      </w:r>
    </w:p>
    <w:p w:rsidR="00AA5FD5" w:rsidRPr="00ED7FBF" w:rsidRDefault="00AA5FD5" w:rsidP="00D07B7A">
      <w:pPr>
        <w:spacing w:line="312" w:lineRule="auto"/>
        <w:ind w:firstLine="709"/>
        <w:jc w:val="both"/>
        <w:rPr>
          <w:sz w:val="28"/>
          <w:szCs w:val="28"/>
        </w:rPr>
      </w:pPr>
      <w:r w:rsidRPr="00ED7FBF">
        <w:rPr>
          <w:sz w:val="28"/>
          <w:szCs w:val="28"/>
        </w:rPr>
        <w:t>Алгоритм выставления оценки</w:t>
      </w:r>
      <w:r w:rsidR="007A3802">
        <w:rPr>
          <w:sz w:val="28"/>
          <w:szCs w:val="28"/>
        </w:rPr>
        <w:t>: о</w:t>
      </w:r>
      <w:r w:rsidRPr="00ED7FBF">
        <w:rPr>
          <w:sz w:val="28"/>
          <w:szCs w:val="28"/>
        </w:rPr>
        <w:t xml:space="preserve">ценивается отношение доли дотаций в трансфертах из других бюджетов за последние два года. </w:t>
      </w:r>
    </w:p>
    <w:p w:rsidR="00AA5FD5" w:rsidRPr="00ED7FBF" w:rsidRDefault="00AA5FD5" w:rsidP="00D07B7A">
      <w:pPr>
        <w:spacing w:line="312" w:lineRule="auto"/>
        <w:ind w:firstLine="709"/>
        <w:jc w:val="both"/>
        <w:rPr>
          <w:sz w:val="28"/>
          <w:szCs w:val="28"/>
        </w:rPr>
      </w:pPr>
      <w:r w:rsidRPr="00ED7FBF">
        <w:rPr>
          <w:sz w:val="28"/>
          <w:szCs w:val="28"/>
        </w:rPr>
        <w:t>5</w:t>
      </w:r>
      <w:r w:rsidR="007A3802">
        <w:rPr>
          <w:sz w:val="28"/>
          <w:szCs w:val="28"/>
        </w:rPr>
        <w:t>)</w:t>
      </w:r>
      <w:r w:rsidRPr="00ED7FBF">
        <w:rPr>
          <w:sz w:val="28"/>
          <w:szCs w:val="28"/>
        </w:rPr>
        <w:t xml:space="preserve"> Зависимость от крупнейших налогоплательщиков. </w:t>
      </w:r>
    </w:p>
    <w:p w:rsidR="00AA5FD5" w:rsidRPr="00ED7FBF" w:rsidRDefault="00AA5FD5" w:rsidP="00D07B7A">
      <w:pPr>
        <w:spacing w:line="312" w:lineRule="auto"/>
        <w:ind w:firstLine="709"/>
        <w:jc w:val="both"/>
        <w:rPr>
          <w:sz w:val="28"/>
          <w:szCs w:val="28"/>
        </w:rPr>
      </w:pPr>
      <w:r w:rsidRPr="00ED7FBF">
        <w:rPr>
          <w:sz w:val="28"/>
          <w:szCs w:val="28"/>
        </w:rPr>
        <w:t xml:space="preserve">Цель анализа </w:t>
      </w:r>
      <w:r w:rsidR="007A3802">
        <w:rPr>
          <w:sz w:val="28"/>
          <w:szCs w:val="28"/>
        </w:rPr>
        <w:t>- о</w:t>
      </w:r>
      <w:r w:rsidRPr="00ED7FBF">
        <w:rPr>
          <w:sz w:val="28"/>
          <w:szCs w:val="28"/>
        </w:rPr>
        <w:t xml:space="preserve">пределить степень зависимости доходов бюджета от крупнейшего налогоплательщика (консолидированной группы налогоплательщиков). Высокая зависимость от налогоплательщика (группы налогоплательщиков) повышает риски доходной части бюджета. Преобладание одного налогоплательщика (группы налогоплательщиков) ставит бюджет объекта рейтинга в зависимость от его финансового состояния, при этом волатильность денежных потоков крупнейшего налогоплательщика (группы налогоплательщиков) транслируется на налоговые доходы региона (муниципалитета). </w:t>
      </w:r>
    </w:p>
    <w:p w:rsidR="00AA5FD5" w:rsidRPr="00ED7FBF" w:rsidRDefault="007A3802" w:rsidP="00D07B7A">
      <w:pPr>
        <w:spacing w:line="312" w:lineRule="auto"/>
        <w:ind w:firstLine="709"/>
        <w:jc w:val="both"/>
        <w:rPr>
          <w:sz w:val="28"/>
          <w:szCs w:val="28"/>
        </w:rPr>
      </w:pPr>
      <w:r>
        <w:rPr>
          <w:sz w:val="28"/>
          <w:szCs w:val="28"/>
        </w:rPr>
        <w:t>Источники информации: д</w:t>
      </w:r>
      <w:r w:rsidR="00AA5FD5" w:rsidRPr="00ED7FBF">
        <w:rPr>
          <w:sz w:val="28"/>
          <w:szCs w:val="28"/>
        </w:rPr>
        <w:t>анные, полученные в ходе запросов информации; информационный ресурс «СПАРК-Интерфакс» (</w:t>
      </w:r>
      <w:hyperlink r:id="rId10" w:history="1">
        <w:r w:rsidR="00AA5FD5" w:rsidRPr="00ED7FBF">
          <w:rPr>
            <w:rStyle w:val="a6"/>
            <w:sz w:val="28"/>
            <w:szCs w:val="28"/>
            <w:u w:val="none"/>
          </w:rPr>
          <w:t>www.spark-interfax.ru</w:t>
        </w:r>
      </w:hyperlink>
      <w:r w:rsidR="00AA5FD5" w:rsidRPr="00ED7FBF">
        <w:rPr>
          <w:sz w:val="28"/>
          <w:szCs w:val="28"/>
        </w:rPr>
        <w:t xml:space="preserve">). </w:t>
      </w:r>
    </w:p>
    <w:p w:rsidR="00AA5FD5" w:rsidRPr="00ED7FBF" w:rsidRDefault="007A3802" w:rsidP="00D07B7A">
      <w:pPr>
        <w:spacing w:line="312" w:lineRule="auto"/>
        <w:ind w:firstLine="709"/>
        <w:jc w:val="both"/>
        <w:rPr>
          <w:sz w:val="28"/>
          <w:szCs w:val="28"/>
        </w:rPr>
      </w:pPr>
      <w:r>
        <w:rPr>
          <w:sz w:val="28"/>
          <w:szCs w:val="28"/>
        </w:rPr>
        <w:t>Алгоритм выставления оценки: о</w:t>
      </w:r>
      <w:r w:rsidR="00AA5FD5" w:rsidRPr="00ED7FBF">
        <w:rPr>
          <w:sz w:val="28"/>
          <w:szCs w:val="28"/>
        </w:rPr>
        <w:t>ценивается доля крупнейшего налогоплательщика (консолидированной группы налогоплательщиков) в налоговых доходах бюджета за последний год.</w:t>
      </w:r>
    </w:p>
    <w:p w:rsidR="00AA5FD5" w:rsidRPr="00ED7FBF" w:rsidRDefault="00AA5FD5" w:rsidP="00D07B7A">
      <w:pPr>
        <w:spacing w:line="312" w:lineRule="auto"/>
        <w:ind w:firstLine="709"/>
        <w:jc w:val="both"/>
        <w:rPr>
          <w:sz w:val="28"/>
          <w:szCs w:val="28"/>
        </w:rPr>
      </w:pPr>
      <w:r w:rsidRPr="00ED7FBF">
        <w:rPr>
          <w:sz w:val="28"/>
          <w:szCs w:val="28"/>
        </w:rPr>
        <w:t>6</w:t>
      </w:r>
      <w:r w:rsidR="007A3802">
        <w:rPr>
          <w:sz w:val="28"/>
          <w:szCs w:val="28"/>
        </w:rPr>
        <w:t>)</w:t>
      </w:r>
      <w:r w:rsidRPr="00ED7FBF">
        <w:rPr>
          <w:sz w:val="28"/>
          <w:szCs w:val="28"/>
        </w:rPr>
        <w:t xml:space="preserve"> Дисциплина исполнения бюджета. </w:t>
      </w:r>
    </w:p>
    <w:p w:rsidR="00AA5FD5" w:rsidRPr="00ED7FBF" w:rsidRDefault="00AA5FD5" w:rsidP="00D07B7A">
      <w:pPr>
        <w:spacing w:line="312" w:lineRule="auto"/>
        <w:ind w:firstLine="709"/>
        <w:jc w:val="both"/>
        <w:rPr>
          <w:sz w:val="28"/>
          <w:szCs w:val="28"/>
        </w:rPr>
      </w:pPr>
      <w:r w:rsidRPr="00ED7FBF">
        <w:rPr>
          <w:sz w:val="28"/>
          <w:szCs w:val="28"/>
        </w:rPr>
        <w:t xml:space="preserve">Цель анализа </w:t>
      </w:r>
      <w:r w:rsidR="007A3802">
        <w:rPr>
          <w:sz w:val="28"/>
          <w:szCs w:val="28"/>
        </w:rPr>
        <w:t>- о</w:t>
      </w:r>
      <w:r w:rsidRPr="00ED7FBF">
        <w:rPr>
          <w:sz w:val="28"/>
          <w:szCs w:val="28"/>
        </w:rPr>
        <w:t xml:space="preserve">ценить качество планирования бюджета. АО «Эксперт РА» сопоставляет фактические и запланированные доходы и расходы бюджета. Для первого показателя превышение планового значения над фактическим свидетельствует о невысоком уровне планирования бюджета или о низкой дисциплине его исполнения. В части расходов используется более сложный подход с кусочно-линейной зависимостью с симметричными критериями (в качестве риска рассматривается большое отклонение фактического значения от планового в обе стороны). Систематическое соответствие фактических значений плановым свидетельствует о высокой дисциплине исполнения бюджета и способности органов муниципальной или региональной власти прогнозировать доходы и расходы. </w:t>
      </w:r>
    </w:p>
    <w:p w:rsidR="00AA5FD5" w:rsidRPr="00ED7FBF" w:rsidRDefault="00AA5FD5" w:rsidP="00D07B7A">
      <w:pPr>
        <w:spacing w:line="312" w:lineRule="auto"/>
        <w:ind w:firstLine="709"/>
        <w:jc w:val="both"/>
        <w:rPr>
          <w:sz w:val="28"/>
          <w:szCs w:val="28"/>
        </w:rPr>
      </w:pPr>
      <w:r w:rsidRPr="00ED7FBF">
        <w:rPr>
          <w:sz w:val="28"/>
          <w:szCs w:val="28"/>
        </w:rPr>
        <w:t>Алгоритм выставления оценки</w:t>
      </w:r>
      <w:r w:rsidR="007A3802">
        <w:rPr>
          <w:sz w:val="28"/>
          <w:szCs w:val="28"/>
        </w:rPr>
        <w:t>: о</w:t>
      </w:r>
      <w:r w:rsidRPr="00ED7FBF">
        <w:rPr>
          <w:sz w:val="28"/>
          <w:szCs w:val="28"/>
        </w:rPr>
        <w:t>цениваются два показателя. В качестве первого критерия рассматривается отклонение фактического значения налоговых и неналоговых доходов от планового: 100% * (факт – план) / план. Оценивается значение показателя по данным за последний год. Вторым показателем является отклонение фактического значения расходов бюджета от планового. Показатель за последний год.</w:t>
      </w:r>
    </w:p>
    <w:p w:rsidR="00AA5FD5" w:rsidRPr="00ED7FBF" w:rsidRDefault="00AA5FD5" w:rsidP="00D07B7A">
      <w:pPr>
        <w:spacing w:line="312" w:lineRule="auto"/>
        <w:ind w:firstLine="709"/>
        <w:jc w:val="both"/>
        <w:rPr>
          <w:sz w:val="28"/>
          <w:szCs w:val="28"/>
        </w:rPr>
      </w:pPr>
      <w:r w:rsidRPr="00ED7FBF">
        <w:rPr>
          <w:sz w:val="28"/>
          <w:szCs w:val="28"/>
        </w:rPr>
        <w:t>2.1.2. Долговая нагрузка.</w:t>
      </w:r>
    </w:p>
    <w:p w:rsidR="00AA5FD5" w:rsidRPr="00ED7FBF" w:rsidRDefault="00AA5FD5" w:rsidP="00D07B7A">
      <w:pPr>
        <w:spacing w:line="312" w:lineRule="auto"/>
        <w:ind w:firstLine="709"/>
        <w:jc w:val="both"/>
        <w:rPr>
          <w:sz w:val="28"/>
          <w:szCs w:val="28"/>
        </w:rPr>
      </w:pPr>
      <w:r w:rsidRPr="00ED7FBF">
        <w:rPr>
          <w:sz w:val="28"/>
          <w:szCs w:val="28"/>
        </w:rPr>
        <w:t>При расчете АО «Эксперт РА» показателей, связанных с долгом, в его состав также включается косвенная долговая нагрузка объекта рейтинга (обязательства компаний, находящихся в собственности объекта рейтинга – государственных унитарных предприятий, казенных предприятий, акционерных обществ), если имеются достаточные основания полагать, что соответствующие обязательства будет исполнять объект рейтинга.</w:t>
      </w:r>
    </w:p>
    <w:p w:rsidR="00AA5FD5" w:rsidRPr="00ED7FBF" w:rsidRDefault="00AA5FD5" w:rsidP="00D07B7A">
      <w:pPr>
        <w:spacing w:line="312" w:lineRule="auto"/>
        <w:ind w:firstLine="709"/>
        <w:jc w:val="both"/>
        <w:rPr>
          <w:sz w:val="28"/>
          <w:szCs w:val="28"/>
        </w:rPr>
      </w:pPr>
      <w:r w:rsidRPr="00ED7FBF">
        <w:rPr>
          <w:sz w:val="28"/>
          <w:szCs w:val="28"/>
        </w:rPr>
        <w:t>1</w:t>
      </w:r>
      <w:r w:rsidR="007A3802">
        <w:rPr>
          <w:sz w:val="28"/>
          <w:szCs w:val="28"/>
        </w:rPr>
        <w:t>)</w:t>
      </w:r>
      <w:r w:rsidRPr="00ED7FBF">
        <w:rPr>
          <w:sz w:val="28"/>
          <w:szCs w:val="28"/>
        </w:rPr>
        <w:t xml:space="preserve"> Отношение долга к налоговым и неналоговым доходам. </w:t>
      </w:r>
    </w:p>
    <w:p w:rsidR="00AA5FD5" w:rsidRPr="00ED7FBF" w:rsidRDefault="00AA5FD5" w:rsidP="00D07B7A">
      <w:pPr>
        <w:spacing w:line="312" w:lineRule="auto"/>
        <w:ind w:firstLine="709"/>
        <w:jc w:val="both"/>
        <w:rPr>
          <w:sz w:val="28"/>
          <w:szCs w:val="28"/>
        </w:rPr>
      </w:pPr>
      <w:r w:rsidRPr="00ED7FBF">
        <w:rPr>
          <w:sz w:val="28"/>
          <w:szCs w:val="28"/>
        </w:rPr>
        <w:t>Цель анализа</w:t>
      </w:r>
      <w:r w:rsidR="007A3802">
        <w:rPr>
          <w:sz w:val="28"/>
          <w:szCs w:val="28"/>
        </w:rPr>
        <w:t xml:space="preserve"> - п</w:t>
      </w:r>
      <w:r w:rsidRPr="00ED7FBF">
        <w:rPr>
          <w:sz w:val="28"/>
          <w:szCs w:val="28"/>
        </w:rPr>
        <w:t xml:space="preserve">оказатель призван оценить достаточность налоговых и неналоговых доходов ОР по отношению к его обязательствам. </w:t>
      </w:r>
    </w:p>
    <w:p w:rsidR="00AA5FD5" w:rsidRPr="00ED7FBF" w:rsidRDefault="007A3802" w:rsidP="00D07B7A">
      <w:pPr>
        <w:spacing w:line="312" w:lineRule="auto"/>
        <w:ind w:firstLine="709"/>
        <w:jc w:val="both"/>
        <w:rPr>
          <w:sz w:val="28"/>
          <w:szCs w:val="28"/>
        </w:rPr>
      </w:pPr>
      <w:r>
        <w:rPr>
          <w:sz w:val="28"/>
          <w:szCs w:val="28"/>
        </w:rPr>
        <w:t>Источники информации: о</w:t>
      </w:r>
      <w:r w:rsidR="00AA5FD5" w:rsidRPr="00ED7FBF">
        <w:rPr>
          <w:sz w:val="28"/>
          <w:szCs w:val="28"/>
        </w:rPr>
        <w:t xml:space="preserve">тчет об исполнении бюджета субъекта Российской Федерации / муниципалитета; долговая книга; данные, полученные в ходе запросов информации; данные СМИ и «СПАРК-Интерфакс»; отчетность компаний, находящихся в собственности объекта рейтинга. </w:t>
      </w:r>
    </w:p>
    <w:p w:rsidR="00AA5FD5" w:rsidRPr="00ED7FBF" w:rsidRDefault="00AA5FD5" w:rsidP="00D07B7A">
      <w:pPr>
        <w:spacing w:line="312" w:lineRule="auto"/>
        <w:ind w:firstLine="709"/>
        <w:jc w:val="both"/>
        <w:rPr>
          <w:sz w:val="28"/>
          <w:szCs w:val="28"/>
        </w:rPr>
      </w:pPr>
      <w:r w:rsidRPr="00ED7FBF">
        <w:rPr>
          <w:sz w:val="28"/>
          <w:szCs w:val="28"/>
        </w:rPr>
        <w:t>Алгоритм выставления оценки</w:t>
      </w:r>
      <w:r w:rsidR="007A3802">
        <w:rPr>
          <w:sz w:val="28"/>
          <w:szCs w:val="28"/>
        </w:rPr>
        <w:t>:</w:t>
      </w:r>
      <w:r w:rsidRPr="00ED7FBF">
        <w:rPr>
          <w:sz w:val="28"/>
          <w:szCs w:val="28"/>
        </w:rPr>
        <w:t xml:space="preserve"> </w:t>
      </w:r>
      <w:r w:rsidR="007A3802">
        <w:rPr>
          <w:sz w:val="28"/>
          <w:szCs w:val="28"/>
        </w:rPr>
        <w:t>р</w:t>
      </w:r>
      <w:r w:rsidRPr="00ED7FBF">
        <w:rPr>
          <w:sz w:val="28"/>
          <w:szCs w:val="28"/>
        </w:rPr>
        <w:t xml:space="preserve">ассматривается отношение долга объекта рейтинга на последнюю месячную дату к его налоговым и неналоговым доходам за последние 12 месяцев. </w:t>
      </w:r>
    </w:p>
    <w:p w:rsidR="00AA5FD5" w:rsidRPr="00ED7FBF" w:rsidRDefault="00AA5FD5" w:rsidP="00D07B7A">
      <w:pPr>
        <w:spacing w:line="312" w:lineRule="auto"/>
        <w:ind w:firstLine="709"/>
        <w:jc w:val="both"/>
        <w:rPr>
          <w:sz w:val="28"/>
          <w:szCs w:val="28"/>
        </w:rPr>
      </w:pPr>
      <w:r w:rsidRPr="00ED7FBF">
        <w:rPr>
          <w:sz w:val="28"/>
          <w:szCs w:val="28"/>
        </w:rPr>
        <w:t>2</w:t>
      </w:r>
      <w:r w:rsidR="007A3802">
        <w:rPr>
          <w:sz w:val="28"/>
          <w:szCs w:val="28"/>
        </w:rPr>
        <w:t>)</w:t>
      </w:r>
      <w:r w:rsidRPr="00ED7FBF">
        <w:rPr>
          <w:sz w:val="28"/>
          <w:szCs w:val="28"/>
        </w:rPr>
        <w:t xml:space="preserve"> Отношение расходов по обслуживанию долга к налоговым и неналоговым доходам. </w:t>
      </w:r>
    </w:p>
    <w:p w:rsidR="00AA5FD5" w:rsidRPr="00ED7FBF" w:rsidRDefault="00AA5FD5" w:rsidP="00D07B7A">
      <w:pPr>
        <w:spacing w:line="312" w:lineRule="auto"/>
        <w:ind w:firstLine="709"/>
        <w:jc w:val="both"/>
        <w:rPr>
          <w:sz w:val="28"/>
          <w:szCs w:val="28"/>
        </w:rPr>
      </w:pPr>
      <w:r w:rsidRPr="00ED7FBF">
        <w:rPr>
          <w:sz w:val="28"/>
          <w:szCs w:val="28"/>
        </w:rPr>
        <w:t xml:space="preserve">Цель анализа </w:t>
      </w:r>
      <w:r w:rsidR="007A3802">
        <w:rPr>
          <w:sz w:val="28"/>
          <w:szCs w:val="28"/>
        </w:rPr>
        <w:t>- в</w:t>
      </w:r>
      <w:r w:rsidRPr="00ED7FBF">
        <w:rPr>
          <w:sz w:val="28"/>
          <w:szCs w:val="28"/>
        </w:rPr>
        <w:t xml:space="preserve">ыявить риски значительной нагрузки на бюджет, связанной с обслуживанием долга. Высокие расходы на выплату долга повышают вероятность дефолта, что рассматривается в рамках рейтинговой модели негативно. </w:t>
      </w:r>
    </w:p>
    <w:p w:rsidR="00AA5FD5" w:rsidRPr="00ED7FBF" w:rsidRDefault="00AA5FD5" w:rsidP="00D07B7A">
      <w:pPr>
        <w:spacing w:line="312" w:lineRule="auto"/>
        <w:ind w:firstLine="709"/>
        <w:jc w:val="both"/>
        <w:rPr>
          <w:sz w:val="28"/>
          <w:szCs w:val="28"/>
        </w:rPr>
      </w:pPr>
      <w:r w:rsidRPr="00ED7FBF">
        <w:rPr>
          <w:sz w:val="28"/>
          <w:szCs w:val="28"/>
        </w:rPr>
        <w:t>Алгоритм выставления оценки</w:t>
      </w:r>
      <w:r w:rsidR="007A3802">
        <w:rPr>
          <w:sz w:val="28"/>
          <w:szCs w:val="28"/>
        </w:rPr>
        <w:t>:</w:t>
      </w:r>
      <w:r w:rsidRPr="00ED7FBF">
        <w:rPr>
          <w:sz w:val="28"/>
          <w:szCs w:val="28"/>
        </w:rPr>
        <w:t xml:space="preserve"> </w:t>
      </w:r>
      <w:r w:rsidR="007A3802">
        <w:rPr>
          <w:sz w:val="28"/>
          <w:szCs w:val="28"/>
        </w:rPr>
        <w:t>о</w:t>
      </w:r>
      <w:r w:rsidRPr="00ED7FBF">
        <w:rPr>
          <w:sz w:val="28"/>
          <w:szCs w:val="28"/>
        </w:rPr>
        <w:t xml:space="preserve">ценивать отношение расходов по обслуживанию долга к налоговым и неналоговым доходам объекта рейтинга. </w:t>
      </w:r>
    </w:p>
    <w:p w:rsidR="00AA5FD5" w:rsidRPr="00ED7FBF" w:rsidRDefault="00AA5FD5" w:rsidP="00D07B7A">
      <w:pPr>
        <w:spacing w:line="312" w:lineRule="auto"/>
        <w:ind w:firstLine="709"/>
        <w:jc w:val="both"/>
        <w:rPr>
          <w:sz w:val="28"/>
          <w:szCs w:val="28"/>
        </w:rPr>
      </w:pPr>
      <w:r w:rsidRPr="00ED7FBF">
        <w:rPr>
          <w:sz w:val="28"/>
          <w:szCs w:val="28"/>
        </w:rPr>
        <w:t>3</w:t>
      </w:r>
      <w:r w:rsidR="007A3802">
        <w:rPr>
          <w:sz w:val="28"/>
          <w:szCs w:val="28"/>
        </w:rPr>
        <w:t>)</w:t>
      </w:r>
      <w:r w:rsidRPr="00ED7FBF">
        <w:rPr>
          <w:sz w:val="28"/>
          <w:szCs w:val="28"/>
        </w:rPr>
        <w:t> Прогнозная ликвидность</w:t>
      </w:r>
      <w:r w:rsidR="007A3802">
        <w:rPr>
          <w:sz w:val="28"/>
          <w:szCs w:val="28"/>
        </w:rPr>
        <w:t>.</w:t>
      </w:r>
      <w:r w:rsidRPr="00ED7FBF">
        <w:rPr>
          <w:sz w:val="28"/>
          <w:szCs w:val="28"/>
        </w:rPr>
        <w:t xml:space="preserve"> </w:t>
      </w:r>
    </w:p>
    <w:p w:rsidR="00AA5FD5" w:rsidRPr="00ED7FBF" w:rsidRDefault="00AA5FD5" w:rsidP="00D07B7A">
      <w:pPr>
        <w:spacing w:line="312" w:lineRule="auto"/>
        <w:ind w:firstLine="709"/>
        <w:jc w:val="both"/>
        <w:rPr>
          <w:sz w:val="28"/>
          <w:szCs w:val="28"/>
        </w:rPr>
      </w:pPr>
      <w:r w:rsidRPr="00ED7FBF">
        <w:rPr>
          <w:sz w:val="28"/>
          <w:szCs w:val="28"/>
        </w:rPr>
        <w:t xml:space="preserve">Цель анализа </w:t>
      </w:r>
      <w:r w:rsidR="007A3802">
        <w:rPr>
          <w:sz w:val="28"/>
          <w:szCs w:val="28"/>
        </w:rPr>
        <w:t>- о</w:t>
      </w:r>
      <w:r w:rsidRPr="00ED7FBF">
        <w:rPr>
          <w:sz w:val="28"/>
          <w:szCs w:val="28"/>
        </w:rPr>
        <w:t xml:space="preserve">ценка достаточности имеющихся в распоряжении объекта рейтинга ликвидных инструментов (остатки денежных средств, неиспользованные кредитные линии) для покрытия краткосрочных обязательств. </w:t>
      </w:r>
    </w:p>
    <w:p w:rsidR="00AA5FD5" w:rsidRPr="00ED7FBF" w:rsidRDefault="00AA5FD5" w:rsidP="00D07B7A">
      <w:pPr>
        <w:spacing w:line="312" w:lineRule="auto"/>
        <w:ind w:firstLine="709"/>
        <w:jc w:val="both"/>
        <w:rPr>
          <w:sz w:val="28"/>
          <w:szCs w:val="28"/>
        </w:rPr>
      </w:pPr>
      <w:r w:rsidRPr="00ED7FBF">
        <w:rPr>
          <w:sz w:val="28"/>
          <w:szCs w:val="28"/>
        </w:rPr>
        <w:t>Источники информации</w:t>
      </w:r>
      <w:r w:rsidR="007A3802">
        <w:rPr>
          <w:sz w:val="28"/>
          <w:szCs w:val="28"/>
        </w:rPr>
        <w:t>: д</w:t>
      </w:r>
      <w:r w:rsidRPr="00ED7FBF">
        <w:rPr>
          <w:sz w:val="28"/>
          <w:szCs w:val="28"/>
        </w:rPr>
        <w:t xml:space="preserve">анные, полученные в ходе запросов информации, проспекты эмиссий облигаций. </w:t>
      </w:r>
    </w:p>
    <w:p w:rsidR="00AA5FD5" w:rsidRPr="00ED7FBF" w:rsidRDefault="00AA5FD5" w:rsidP="00D07B7A">
      <w:pPr>
        <w:spacing w:line="312" w:lineRule="auto"/>
        <w:ind w:firstLine="709"/>
        <w:jc w:val="both"/>
        <w:rPr>
          <w:sz w:val="28"/>
          <w:szCs w:val="28"/>
        </w:rPr>
      </w:pPr>
      <w:r w:rsidRPr="00ED7FBF">
        <w:rPr>
          <w:sz w:val="28"/>
          <w:szCs w:val="28"/>
        </w:rPr>
        <w:t>Алгоритм выставления оценки</w:t>
      </w:r>
      <w:r w:rsidR="007A3802">
        <w:rPr>
          <w:sz w:val="28"/>
          <w:szCs w:val="28"/>
        </w:rPr>
        <w:t>: н</w:t>
      </w:r>
      <w:r w:rsidRPr="00ED7FBF">
        <w:rPr>
          <w:sz w:val="28"/>
          <w:szCs w:val="28"/>
        </w:rPr>
        <w:t>а горизонт</w:t>
      </w:r>
      <w:r w:rsidR="000A292B">
        <w:rPr>
          <w:sz w:val="28"/>
          <w:szCs w:val="28"/>
        </w:rPr>
        <w:t>е одного квартала, полугодия, 9 </w:t>
      </w:r>
      <w:r w:rsidRPr="00ED7FBF">
        <w:rPr>
          <w:sz w:val="28"/>
          <w:szCs w:val="28"/>
        </w:rPr>
        <w:t>месяцев и одного года от последней квартальной даты рассчитывается прогнозный коэффициент ликвидности. Итоговые балл определяется минимальной оценкой из четырех.</w:t>
      </w:r>
    </w:p>
    <w:p w:rsidR="00AA5FD5" w:rsidRPr="00ED7FBF" w:rsidRDefault="00AA5FD5" w:rsidP="00D07B7A">
      <w:pPr>
        <w:spacing w:line="312" w:lineRule="auto"/>
        <w:ind w:firstLine="709"/>
        <w:jc w:val="both"/>
        <w:rPr>
          <w:sz w:val="28"/>
          <w:szCs w:val="28"/>
        </w:rPr>
      </w:pPr>
      <w:r w:rsidRPr="00ED7FBF">
        <w:rPr>
          <w:sz w:val="28"/>
          <w:szCs w:val="28"/>
        </w:rPr>
        <w:t>4</w:t>
      </w:r>
      <w:r w:rsidR="007A3802">
        <w:rPr>
          <w:sz w:val="28"/>
          <w:szCs w:val="28"/>
        </w:rPr>
        <w:t>)</w:t>
      </w:r>
      <w:r w:rsidRPr="00ED7FBF">
        <w:rPr>
          <w:sz w:val="28"/>
          <w:szCs w:val="28"/>
        </w:rPr>
        <w:t xml:space="preserve"> Структура долговой нагрузки по срокам погашения. </w:t>
      </w:r>
    </w:p>
    <w:p w:rsidR="00AA5FD5" w:rsidRPr="00ED7FBF" w:rsidRDefault="00AA5FD5" w:rsidP="00D07B7A">
      <w:pPr>
        <w:spacing w:line="312" w:lineRule="auto"/>
        <w:ind w:firstLine="709"/>
        <w:jc w:val="both"/>
        <w:rPr>
          <w:sz w:val="28"/>
          <w:szCs w:val="28"/>
        </w:rPr>
      </w:pPr>
      <w:r w:rsidRPr="00ED7FBF">
        <w:rPr>
          <w:sz w:val="28"/>
          <w:szCs w:val="28"/>
        </w:rPr>
        <w:t xml:space="preserve">Цель анализа </w:t>
      </w:r>
      <w:r w:rsidR="007A3802">
        <w:rPr>
          <w:sz w:val="28"/>
          <w:szCs w:val="28"/>
        </w:rPr>
        <w:t>- о</w:t>
      </w:r>
      <w:r w:rsidRPr="00ED7FBF">
        <w:rPr>
          <w:sz w:val="28"/>
          <w:szCs w:val="28"/>
        </w:rPr>
        <w:t xml:space="preserve">ценка структуры долга по срокам погашения. Высокая доля краткосрочного долга в структуре задолженности увеличивает риски потери ликвидности. Значительная опора на «короткое» фондирование свидетельствует о невысоком уровне бюджетного планирования, что негативно влияет на кредитный рейтинг региона (муниципалитета). </w:t>
      </w:r>
    </w:p>
    <w:p w:rsidR="00AA5FD5" w:rsidRPr="00ED7FBF" w:rsidRDefault="00AA5FD5" w:rsidP="00D07B7A">
      <w:pPr>
        <w:spacing w:line="312" w:lineRule="auto"/>
        <w:ind w:firstLine="709"/>
        <w:jc w:val="both"/>
        <w:rPr>
          <w:sz w:val="28"/>
          <w:szCs w:val="28"/>
        </w:rPr>
      </w:pPr>
      <w:r w:rsidRPr="00ED7FBF">
        <w:rPr>
          <w:sz w:val="28"/>
          <w:szCs w:val="28"/>
        </w:rPr>
        <w:t>Источники информации</w:t>
      </w:r>
      <w:r w:rsidR="007A3802">
        <w:rPr>
          <w:sz w:val="28"/>
          <w:szCs w:val="28"/>
        </w:rPr>
        <w:t>: д</w:t>
      </w:r>
      <w:r w:rsidRPr="00ED7FBF">
        <w:rPr>
          <w:sz w:val="28"/>
          <w:szCs w:val="28"/>
        </w:rPr>
        <w:t xml:space="preserve">анные, полученные в ходе запросов информации; выписки из государственной долговой книги объекта рейтинга. </w:t>
      </w:r>
    </w:p>
    <w:p w:rsidR="00AA5FD5" w:rsidRPr="00ED7FBF" w:rsidRDefault="00AA5FD5" w:rsidP="00D07B7A">
      <w:pPr>
        <w:spacing w:line="312" w:lineRule="auto"/>
        <w:ind w:firstLine="709"/>
        <w:jc w:val="both"/>
        <w:rPr>
          <w:sz w:val="28"/>
          <w:szCs w:val="28"/>
        </w:rPr>
      </w:pPr>
      <w:r w:rsidRPr="00ED7FBF">
        <w:rPr>
          <w:sz w:val="28"/>
          <w:szCs w:val="28"/>
        </w:rPr>
        <w:t xml:space="preserve">Алгоритм выставления оценки </w:t>
      </w:r>
      <w:r w:rsidR="007A3802">
        <w:rPr>
          <w:sz w:val="28"/>
          <w:szCs w:val="28"/>
        </w:rPr>
        <w:t>- о</w:t>
      </w:r>
      <w:r w:rsidRPr="00ED7FBF">
        <w:rPr>
          <w:sz w:val="28"/>
          <w:szCs w:val="28"/>
        </w:rPr>
        <w:t>ценивается доля долга, срок погашения которого наступает в течение 12 месяцев.</w:t>
      </w:r>
    </w:p>
    <w:p w:rsidR="00AA5FD5" w:rsidRPr="00ED7FBF" w:rsidRDefault="00AA5FD5" w:rsidP="00D07B7A">
      <w:pPr>
        <w:spacing w:line="312" w:lineRule="auto"/>
        <w:ind w:firstLine="709"/>
        <w:jc w:val="both"/>
        <w:rPr>
          <w:sz w:val="28"/>
          <w:szCs w:val="28"/>
        </w:rPr>
      </w:pPr>
      <w:r w:rsidRPr="00ED7FBF">
        <w:rPr>
          <w:sz w:val="28"/>
          <w:szCs w:val="28"/>
        </w:rPr>
        <w:t>5</w:t>
      </w:r>
      <w:r w:rsidR="007A3802">
        <w:rPr>
          <w:sz w:val="28"/>
          <w:szCs w:val="28"/>
        </w:rPr>
        <w:t>)</w:t>
      </w:r>
      <w:r w:rsidRPr="00ED7FBF">
        <w:rPr>
          <w:sz w:val="28"/>
          <w:szCs w:val="28"/>
        </w:rPr>
        <w:t xml:space="preserve">. Доля крупнейшего кредитора в структуре долга. </w:t>
      </w:r>
    </w:p>
    <w:p w:rsidR="00AA5FD5" w:rsidRPr="00ED7FBF" w:rsidRDefault="00AA5FD5" w:rsidP="00D07B7A">
      <w:pPr>
        <w:spacing w:line="312" w:lineRule="auto"/>
        <w:ind w:firstLine="709"/>
        <w:jc w:val="both"/>
        <w:rPr>
          <w:sz w:val="28"/>
          <w:szCs w:val="28"/>
        </w:rPr>
      </w:pPr>
      <w:r w:rsidRPr="00ED7FBF">
        <w:rPr>
          <w:sz w:val="28"/>
          <w:szCs w:val="28"/>
        </w:rPr>
        <w:t xml:space="preserve">Цель анализа </w:t>
      </w:r>
      <w:r w:rsidR="007A3802">
        <w:rPr>
          <w:sz w:val="28"/>
          <w:szCs w:val="28"/>
        </w:rPr>
        <w:t>- о</w:t>
      </w:r>
      <w:r w:rsidRPr="00ED7FBF">
        <w:rPr>
          <w:sz w:val="28"/>
          <w:szCs w:val="28"/>
        </w:rPr>
        <w:t xml:space="preserve">ценить диверсификацию долга по кредиторам. Концентрация обязательств на одном кредиторе (кроме Министерства финансов Российской Федерации / Министерства финансов субъекта Российской Федерации, в который входит муниципалитет) рассматривается в качестве фактора риска в связи усилением его переговорной позиции. </w:t>
      </w:r>
    </w:p>
    <w:p w:rsidR="00AA5FD5" w:rsidRPr="00ED7FBF" w:rsidRDefault="007A3802" w:rsidP="00D07B7A">
      <w:pPr>
        <w:spacing w:line="312" w:lineRule="auto"/>
        <w:ind w:firstLine="709"/>
        <w:jc w:val="both"/>
        <w:rPr>
          <w:sz w:val="28"/>
          <w:szCs w:val="28"/>
        </w:rPr>
      </w:pPr>
      <w:r>
        <w:rPr>
          <w:sz w:val="28"/>
          <w:szCs w:val="28"/>
        </w:rPr>
        <w:t>Источники информации: д</w:t>
      </w:r>
      <w:r w:rsidR="00AA5FD5" w:rsidRPr="00ED7FBF">
        <w:rPr>
          <w:sz w:val="28"/>
          <w:szCs w:val="28"/>
        </w:rPr>
        <w:t>анные, полученные в ходе запросов информации; выписки из государственной долговой книги объекта рейтинга.</w:t>
      </w:r>
    </w:p>
    <w:p w:rsidR="00AA5FD5" w:rsidRDefault="00AA5FD5" w:rsidP="00D07B7A">
      <w:pPr>
        <w:spacing w:line="312" w:lineRule="auto"/>
        <w:ind w:firstLine="709"/>
        <w:jc w:val="both"/>
        <w:rPr>
          <w:sz w:val="28"/>
          <w:szCs w:val="28"/>
        </w:rPr>
      </w:pPr>
      <w:r w:rsidRPr="00ED7FBF">
        <w:rPr>
          <w:sz w:val="28"/>
          <w:szCs w:val="28"/>
        </w:rPr>
        <w:t>Алгоритм выставления оценки</w:t>
      </w:r>
      <w:r w:rsidR="007A3802">
        <w:rPr>
          <w:sz w:val="28"/>
          <w:szCs w:val="28"/>
        </w:rPr>
        <w:t>: о</w:t>
      </w:r>
      <w:r w:rsidRPr="00ED7FBF">
        <w:rPr>
          <w:sz w:val="28"/>
          <w:szCs w:val="28"/>
        </w:rPr>
        <w:t>ценивается доля крупнейшего кредитора в структуре долга. Номинальный держатель облигаций не рассматривается в качестве кредитора.</w:t>
      </w:r>
    </w:p>
    <w:p w:rsidR="00AA5FD5" w:rsidRPr="00ED7FBF" w:rsidRDefault="00AA5FD5" w:rsidP="00D07B7A">
      <w:pPr>
        <w:spacing w:line="312" w:lineRule="auto"/>
        <w:ind w:firstLine="709"/>
        <w:jc w:val="both"/>
        <w:rPr>
          <w:sz w:val="28"/>
          <w:szCs w:val="28"/>
        </w:rPr>
      </w:pPr>
      <w:r w:rsidRPr="00ED7FBF">
        <w:rPr>
          <w:sz w:val="28"/>
          <w:szCs w:val="28"/>
        </w:rPr>
        <w:t xml:space="preserve">2.1.3. Опираясь на данную методологию, АО «Эксперт РА» устанавливает прогноз по кредитному рейтингу, который означает мнение кредитного рейтингового агентства относительно возможного изменения уровня кредитного рейтинга в перспективе одного года. Объекту рейтинга может быть присвоен один из четырех видов прогноза по кредитному рейтингу: </w:t>
      </w:r>
    </w:p>
    <w:p w:rsidR="00AA5FD5" w:rsidRPr="00ED7FBF" w:rsidRDefault="00AA5FD5" w:rsidP="00D07B7A">
      <w:pPr>
        <w:spacing w:line="312" w:lineRule="auto"/>
        <w:ind w:firstLine="709"/>
        <w:jc w:val="both"/>
        <w:rPr>
          <w:sz w:val="28"/>
          <w:szCs w:val="28"/>
        </w:rPr>
      </w:pPr>
      <w:r w:rsidRPr="00ED7FBF">
        <w:rPr>
          <w:sz w:val="28"/>
          <w:szCs w:val="28"/>
        </w:rPr>
        <w:t xml:space="preserve">▪ позитивный (высокая вероятность повышения кредитного рейтинга на горизонте 12 месяцев); </w:t>
      </w:r>
    </w:p>
    <w:p w:rsidR="00AA5FD5" w:rsidRPr="00ED7FBF" w:rsidRDefault="00AA5FD5" w:rsidP="00D07B7A">
      <w:pPr>
        <w:spacing w:line="312" w:lineRule="auto"/>
        <w:ind w:firstLine="709"/>
        <w:jc w:val="both"/>
        <w:rPr>
          <w:sz w:val="28"/>
          <w:szCs w:val="28"/>
        </w:rPr>
      </w:pPr>
      <w:r w:rsidRPr="00ED7FBF">
        <w:rPr>
          <w:sz w:val="28"/>
          <w:szCs w:val="28"/>
        </w:rPr>
        <w:t xml:space="preserve">▪ негативный (высокая вероятность снижения кредитного рейтинга на горизонте 12 месяцев); </w:t>
      </w:r>
    </w:p>
    <w:p w:rsidR="00AA5FD5" w:rsidRPr="00ED7FBF" w:rsidRDefault="00AA5FD5" w:rsidP="00D07B7A">
      <w:pPr>
        <w:spacing w:line="312" w:lineRule="auto"/>
        <w:ind w:firstLine="709"/>
        <w:jc w:val="both"/>
        <w:rPr>
          <w:sz w:val="28"/>
          <w:szCs w:val="28"/>
        </w:rPr>
      </w:pPr>
      <w:r w:rsidRPr="00ED7FBF">
        <w:rPr>
          <w:sz w:val="28"/>
          <w:szCs w:val="28"/>
        </w:rPr>
        <w:t xml:space="preserve">▪ стабильный (высокая вероятность сохранения кредитного рейтинга на прежнем уровне на горизонте 12 месяцев); </w:t>
      </w:r>
    </w:p>
    <w:p w:rsidR="00AA5FD5" w:rsidRPr="00ED7FBF" w:rsidRDefault="00AA5FD5" w:rsidP="00D07B7A">
      <w:pPr>
        <w:spacing w:line="312" w:lineRule="auto"/>
        <w:ind w:firstLine="709"/>
        <w:jc w:val="both"/>
        <w:rPr>
          <w:sz w:val="28"/>
          <w:szCs w:val="28"/>
        </w:rPr>
      </w:pPr>
      <w:r w:rsidRPr="00ED7FBF">
        <w:rPr>
          <w:sz w:val="28"/>
          <w:szCs w:val="28"/>
        </w:rPr>
        <w:t>▪ развивающийся (на горизонте 12 месяцев равновероятны два или более вариантов рейтинговых действий: сохранение, повышение или снижение кредитного рейтинга).</w:t>
      </w:r>
    </w:p>
    <w:p w:rsidR="00AA5FD5" w:rsidRPr="000C6A08" w:rsidRDefault="00AA5FD5" w:rsidP="00D07B7A">
      <w:pPr>
        <w:spacing w:line="312" w:lineRule="auto"/>
        <w:ind w:firstLine="709"/>
        <w:jc w:val="both"/>
        <w:rPr>
          <w:sz w:val="28"/>
          <w:szCs w:val="28"/>
        </w:rPr>
      </w:pPr>
      <w:r w:rsidRPr="000C6A08">
        <w:rPr>
          <w:sz w:val="28"/>
          <w:szCs w:val="28"/>
        </w:rPr>
        <w:t xml:space="preserve">2.2. Аналитическое Кредитное Рейтинговое Агентство (Акционерное общество) (далее — АКРА). </w:t>
      </w:r>
    </w:p>
    <w:p w:rsidR="00AA5FD5" w:rsidRPr="003D206D" w:rsidRDefault="000C6A08" w:rsidP="00D07B7A">
      <w:pPr>
        <w:spacing w:line="312" w:lineRule="auto"/>
        <w:ind w:firstLine="709"/>
        <w:jc w:val="both"/>
        <w:rPr>
          <w:sz w:val="28"/>
          <w:szCs w:val="28"/>
        </w:rPr>
      </w:pPr>
      <w:r>
        <w:rPr>
          <w:sz w:val="28"/>
          <w:szCs w:val="28"/>
        </w:rPr>
        <w:t>Н</w:t>
      </w:r>
      <w:r w:rsidR="00AA5FD5" w:rsidRPr="003D206D">
        <w:rPr>
          <w:sz w:val="28"/>
          <w:szCs w:val="28"/>
        </w:rPr>
        <w:t xml:space="preserve">а официальном интернет-сайте </w:t>
      </w:r>
      <w:r w:rsidRPr="003D206D">
        <w:rPr>
          <w:sz w:val="28"/>
          <w:szCs w:val="28"/>
        </w:rPr>
        <w:t xml:space="preserve">АКРА </w:t>
      </w:r>
      <w:r w:rsidR="00AA5FD5" w:rsidRPr="003D206D">
        <w:rPr>
          <w:sz w:val="28"/>
          <w:szCs w:val="28"/>
        </w:rPr>
        <w:t xml:space="preserve">https://www.acra-ratings.ru/ публикуются кредитные рейтинги субъектов и муниципальных образований Российской Федерации. </w:t>
      </w:r>
    </w:p>
    <w:p w:rsidR="00AA5FD5" w:rsidRDefault="00AA5FD5" w:rsidP="00D07B7A">
      <w:pPr>
        <w:spacing w:line="312" w:lineRule="auto"/>
        <w:ind w:firstLine="709"/>
        <w:jc w:val="both"/>
        <w:rPr>
          <w:sz w:val="28"/>
          <w:szCs w:val="28"/>
        </w:rPr>
      </w:pPr>
      <w:r w:rsidRPr="0051166D">
        <w:rPr>
          <w:sz w:val="28"/>
          <w:szCs w:val="28"/>
        </w:rPr>
        <w:t>Согласно Методологии присвоения кредитных рейтингов субъектам и муниципальным образованиям Российской Федерации, действующей со 2 июля 2021 года,</w:t>
      </w:r>
      <w:r w:rsidRPr="005B4E69">
        <w:t xml:space="preserve"> </w:t>
      </w:r>
      <w:r>
        <w:rPr>
          <w:sz w:val="28"/>
          <w:szCs w:val="28"/>
        </w:rPr>
        <w:t>о</w:t>
      </w:r>
      <w:r w:rsidRPr="005B4E69">
        <w:rPr>
          <w:sz w:val="28"/>
          <w:szCs w:val="28"/>
        </w:rPr>
        <w:t xml:space="preserve">сновными критериями для </w:t>
      </w:r>
      <w:r>
        <w:rPr>
          <w:sz w:val="28"/>
          <w:szCs w:val="28"/>
        </w:rPr>
        <w:t xml:space="preserve">ее </w:t>
      </w:r>
      <w:r w:rsidRPr="005B4E69">
        <w:rPr>
          <w:sz w:val="28"/>
          <w:szCs w:val="28"/>
        </w:rPr>
        <w:t xml:space="preserve">применения </w:t>
      </w:r>
      <w:r>
        <w:rPr>
          <w:sz w:val="28"/>
          <w:szCs w:val="28"/>
        </w:rPr>
        <w:t xml:space="preserve">являются право и способность </w:t>
      </w:r>
      <w:proofErr w:type="spellStart"/>
      <w:r w:rsidRPr="005B4E69">
        <w:rPr>
          <w:sz w:val="28"/>
          <w:szCs w:val="28"/>
        </w:rPr>
        <w:t>рейтингуемого</w:t>
      </w:r>
      <w:proofErr w:type="spellEnd"/>
      <w:r w:rsidRPr="005B4E69">
        <w:rPr>
          <w:sz w:val="28"/>
          <w:szCs w:val="28"/>
        </w:rPr>
        <w:t xml:space="preserve"> лица формировать и реализовывать собственный бюджет и регулировать бюджетные отношения на его территории на основе разграничения компетенций с вышестоящими органами власти</w:t>
      </w:r>
      <w:r>
        <w:rPr>
          <w:sz w:val="28"/>
          <w:szCs w:val="28"/>
        </w:rPr>
        <w:t>.</w:t>
      </w:r>
    </w:p>
    <w:p w:rsidR="00AA5FD5" w:rsidRDefault="00AA5FD5" w:rsidP="00D07B7A">
      <w:pPr>
        <w:spacing w:line="312" w:lineRule="auto"/>
        <w:ind w:firstLine="709"/>
        <w:jc w:val="both"/>
        <w:rPr>
          <w:sz w:val="28"/>
          <w:szCs w:val="28"/>
        </w:rPr>
      </w:pPr>
      <w:r w:rsidRPr="001C1182">
        <w:rPr>
          <w:sz w:val="28"/>
          <w:szCs w:val="28"/>
        </w:rPr>
        <w:t>Анализ кредитоспособности субъекта и</w:t>
      </w:r>
      <w:r>
        <w:rPr>
          <w:sz w:val="28"/>
          <w:szCs w:val="28"/>
        </w:rPr>
        <w:t>ли муниципального образования Российской Федерации</w:t>
      </w:r>
      <w:r w:rsidRPr="001C1182">
        <w:rPr>
          <w:sz w:val="28"/>
          <w:szCs w:val="28"/>
        </w:rPr>
        <w:t xml:space="preserve"> и присвоение кредитного рейтинга проводятся на основе оценки способности </w:t>
      </w:r>
      <w:proofErr w:type="spellStart"/>
      <w:r w:rsidRPr="001C1182">
        <w:rPr>
          <w:sz w:val="28"/>
          <w:szCs w:val="28"/>
        </w:rPr>
        <w:t>рейтингуемого</w:t>
      </w:r>
      <w:proofErr w:type="spellEnd"/>
      <w:r w:rsidRPr="001C1182">
        <w:rPr>
          <w:sz w:val="28"/>
          <w:szCs w:val="28"/>
        </w:rPr>
        <w:t xml:space="preserve"> лица обеспечивать своевременное обслуживание и погашение финансовых обязательств исходя из заданных параметров: экономической базы, параметров бюджета, долговой нагрузки и доступных источников ликвидности</w:t>
      </w:r>
      <w:r>
        <w:rPr>
          <w:sz w:val="28"/>
          <w:szCs w:val="28"/>
        </w:rPr>
        <w:t>.</w:t>
      </w:r>
    </w:p>
    <w:p w:rsidR="00AA5FD5" w:rsidRPr="007738C3" w:rsidRDefault="00AA5FD5" w:rsidP="00D07B7A">
      <w:pPr>
        <w:spacing w:line="312" w:lineRule="auto"/>
        <w:ind w:firstLine="709"/>
        <w:jc w:val="both"/>
        <w:rPr>
          <w:sz w:val="28"/>
          <w:szCs w:val="28"/>
        </w:rPr>
      </w:pPr>
      <w:r w:rsidRPr="007738C3">
        <w:rPr>
          <w:sz w:val="28"/>
          <w:szCs w:val="28"/>
        </w:rPr>
        <w:t xml:space="preserve">Определение уровня кредитоспособности субъекта или муниципального образования Российской Федерации проводится на долгосрочной основе. Циклические колебания экономики (фазы отраслевых циклов) и политические события (выборы органов власти) оцениваются с точки зрения их долгосрочного влияния на кредитоспособность </w:t>
      </w:r>
      <w:proofErr w:type="spellStart"/>
      <w:r w:rsidRPr="007738C3">
        <w:rPr>
          <w:sz w:val="28"/>
          <w:szCs w:val="28"/>
        </w:rPr>
        <w:t>рейтингуемого</w:t>
      </w:r>
      <w:proofErr w:type="spellEnd"/>
      <w:r w:rsidRPr="007738C3">
        <w:rPr>
          <w:sz w:val="28"/>
          <w:szCs w:val="28"/>
        </w:rPr>
        <w:t xml:space="preserve"> лица вне зависимости от текущей политической и экономической конъюнктуры.</w:t>
      </w:r>
    </w:p>
    <w:p w:rsidR="00AA5FD5" w:rsidRPr="007738C3" w:rsidRDefault="00AA5FD5" w:rsidP="00D07B7A">
      <w:pPr>
        <w:spacing w:line="312" w:lineRule="auto"/>
        <w:ind w:firstLine="709"/>
        <w:jc w:val="both"/>
        <w:rPr>
          <w:sz w:val="28"/>
          <w:szCs w:val="28"/>
        </w:rPr>
      </w:pPr>
      <w:r w:rsidRPr="007738C3">
        <w:rPr>
          <w:sz w:val="28"/>
          <w:szCs w:val="28"/>
        </w:rPr>
        <w:t xml:space="preserve">Присвоение кредитного рейтинга проводится на основе оценки следующих факторов: </w:t>
      </w:r>
    </w:p>
    <w:p w:rsidR="00AA5FD5" w:rsidRPr="007738C3" w:rsidRDefault="00AA5FD5" w:rsidP="00D07B7A">
      <w:pPr>
        <w:spacing w:line="312" w:lineRule="auto"/>
        <w:ind w:firstLine="709"/>
        <w:jc w:val="both"/>
        <w:rPr>
          <w:sz w:val="28"/>
          <w:szCs w:val="28"/>
        </w:rPr>
      </w:pPr>
      <w:r w:rsidRPr="007738C3">
        <w:rPr>
          <w:sz w:val="28"/>
          <w:szCs w:val="28"/>
        </w:rPr>
        <w:t xml:space="preserve">– оценка экономического профиля </w:t>
      </w:r>
      <w:proofErr w:type="spellStart"/>
      <w:r w:rsidRPr="007738C3">
        <w:rPr>
          <w:sz w:val="28"/>
          <w:szCs w:val="28"/>
        </w:rPr>
        <w:t>рейтингуемого</w:t>
      </w:r>
      <w:proofErr w:type="spellEnd"/>
      <w:r w:rsidRPr="007738C3">
        <w:rPr>
          <w:sz w:val="28"/>
          <w:szCs w:val="28"/>
        </w:rPr>
        <w:t xml:space="preserve"> лица, предполагающая классификацию в одну из пяти оценочных категорий на основании нескольких показателей развития экономики; </w:t>
      </w:r>
    </w:p>
    <w:p w:rsidR="00AA5FD5" w:rsidRPr="007738C3" w:rsidRDefault="00AA5FD5" w:rsidP="00D07B7A">
      <w:pPr>
        <w:spacing w:line="312" w:lineRule="auto"/>
        <w:ind w:firstLine="709"/>
        <w:jc w:val="both"/>
        <w:rPr>
          <w:sz w:val="28"/>
          <w:szCs w:val="28"/>
        </w:rPr>
      </w:pPr>
      <w:r w:rsidRPr="007738C3">
        <w:rPr>
          <w:sz w:val="28"/>
          <w:szCs w:val="28"/>
        </w:rPr>
        <w:t xml:space="preserve">– оценка финансового профиля </w:t>
      </w:r>
      <w:proofErr w:type="spellStart"/>
      <w:r w:rsidRPr="007738C3">
        <w:rPr>
          <w:sz w:val="28"/>
          <w:szCs w:val="28"/>
        </w:rPr>
        <w:t>рейтингуемого</w:t>
      </w:r>
      <w:proofErr w:type="spellEnd"/>
      <w:r w:rsidRPr="007738C3">
        <w:rPr>
          <w:sz w:val="28"/>
          <w:szCs w:val="28"/>
        </w:rPr>
        <w:t xml:space="preserve"> лица, предполагающая классификацию в одну из пятнадцати оценочных категорий на основании </w:t>
      </w:r>
      <w:proofErr w:type="spellStart"/>
      <w:r w:rsidRPr="007738C3">
        <w:rPr>
          <w:sz w:val="28"/>
          <w:szCs w:val="28"/>
        </w:rPr>
        <w:t>скоринговой</w:t>
      </w:r>
      <w:proofErr w:type="spellEnd"/>
      <w:r w:rsidRPr="007738C3">
        <w:rPr>
          <w:sz w:val="28"/>
          <w:szCs w:val="28"/>
        </w:rPr>
        <w:t xml:space="preserve"> карты.</w:t>
      </w:r>
    </w:p>
    <w:p w:rsidR="00AA5FD5" w:rsidRDefault="00AA5FD5" w:rsidP="00D07B7A">
      <w:pPr>
        <w:spacing w:line="312" w:lineRule="auto"/>
        <w:ind w:firstLine="709"/>
        <w:jc w:val="both"/>
        <w:rPr>
          <w:sz w:val="28"/>
          <w:szCs w:val="28"/>
        </w:rPr>
      </w:pPr>
      <w:r w:rsidRPr="00845063">
        <w:rPr>
          <w:sz w:val="28"/>
          <w:szCs w:val="28"/>
        </w:rPr>
        <w:t xml:space="preserve">Кредитный рейтинг присваивается </w:t>
      </w:r>
      <w:proofErr w:type="spellStart"/>
      <w:r w:rsidRPr="00845063">
        <w:rPr>
          <w:sz w:val="28"/>
          <w:szCs w:val="28"/>
        </w:rPr>
        <w:t>рейтингуемому</w:t>
      </w:r>
      <w:proofErr w:type="spellEnd"/>
      <w:r w:rsidRPr="00845063">
        <w:rPr>
          <w:sz w:val="28"/>
          <w:szCs w:val="28"/>
        </w:rPr>
        <w:t xml:space="preserve"> лицу исходя из всех возможных сочетаний оценок экономического и финансового профилей по 17-ступенчатой шкале, соответствующей национальной шкале АКРА (диапазон оценок от AAA(RU) до ССС/C(RU) включительно</w:t>
      </w:r>
      <w:r>
        <w:rPr>
          <w:sz w:val="28"/>
          <w:szCs w:val="28"/>
        </w:rPr>
        <w:t xml:space="preserve">. </w:t>
      </w:r>
    </w:p>
    <w:p w:rsidR="00AA5FD5" w:rsidRDefault="00AA5FD5" w:rsidP="00D07B7A">
      <w:pPr>
        <w:spacing w:line="312" w:lineRule="auto"/>
        <w:ind w:firstLine="709"/>
        <w:jc w:val="both"/>
        <w:rPr>
          <w:sz w:val="28"/>
          <w:szCs w:val="28"/>
        </w:rPr>
      </w:pPr>
      <w:r w:rsidRPr="00845063">
        <w:rPr>
          <w:sz w:val="28"/>
          <w:szCs w:val="28"/>
        </w:rPr>
        <w:t xml:space="preserve">Оценка экономического профиля </w:t>
      </w:r>
      <w:proofErr w:type="spellStart"/>
      <w:r w:rsidRPr="00845063">
        <w:rPr>
          <w:sz w:val="28"/>
          <w:szCs w:val="28"/>
        </w:rPr>
        <w:t>рейтингуемого</w:t>
      </w:r>
      <w:proofErr w:type="spellEnd"/>
      <w:r w:rsidRPr="00845063">
        <w:rPr>
          <w:sz w:val="28"/>
          <w:szCs w:val="28"/>
        </w:rPr>
        <w:t xml:space="preserve"> лица, равная «3», соответствует среднему уровню развития экономики. Данному уровню соответствует полный перечень рейтингов национальной рейтинговой шкалы, кроме высшего (категории AAA(RU)) и низшего (категории CCC/C(RU)). </w:t>
      </w:r>
      <w:proofErr w:type="spellStart"/>
      <w:r w:rsidRPr="00845063">
        <w:rPr>
          <w:sz w:val="28"/>
          <w:szCs w:val="28"/>
        </w:rPr>
        <w:t>Рейтингуемому</w:t>
      </w:r>
      <w:proofErr w:type="spellEnd"/>
      <w:r w:rsidRPr="00845063">
        <w:rPr>
          <w:sz w:val="28"/>
          <w:szCs w:val="28"/>
        </w:rPr>
        <w:t xml:space="preserve"> лицу с оценкой экономического профиля выше «3» (в случае получения идентичной оценки финансового профиля) может быть присвоен более высокий рейтинг, в том числе высший. </w:t>
      </w:r>
      <w:proofErr w:type="spellStart"/>
      <w:r w:rsidRPr="00845063">
        <w:rPr>
          <w:sz w:val="28"/>
          <w:szCs w:val="28"/>
        </w:rPr>
        <w:t>Рейтингуемое</w:t>
      </w:r>
      <w:proofErr w:type="spellEnd"/>
      <w:r w:rsidRPr="00845063">
        <w:rPr>
          <w:sz w:val="28"/>
          <w:szCs w:val="28"/>
        </w:rPr>
        <w:t xml:space="preserve"> лицо с оценкой экономического профиля ниже «3» может получить более низкий рейтинг, в том числе низший. </w:t>
      </w:r>
    </w:p>
    <w:p w:rsidR="00AA5FD5" w:rsidRDefault="00AA5FD5" w:rsidP="00D07B7A">
      <w:pPr>
        <w:spacing w:line="312" w:lineRule="auto"/>
        <w:ind w:firstLine="709"/>
        <w:jc w:val="both"/>
        <w:rPr>
          <w:sz w:val="28"/>
          <w:szCs w:val="28"/>
        </w:rPr>
      </w:pPr>
      <w:r w:rsidRPr="00845063">
        <w:rPr>
          <w:sz w:val="28"/>
          <w:szCs w:val="28"/>
        </w:rPr>
        <w:t>Оценка показателей экономического профиля стр</w:t>
      </w:r>
      <w:r>
        <w:rPr>
          <w:sz w:val="28"/>
          <w:szCs w:val="28"/>
        </w:rPr>
        <w:t>оится на усредненных значениях</w:t>
      </w:r>
      <w:r w:rsidRPr="00845063">
        <w:rPr>
          <w:sz w:val="28"/>
          <w:szCs w:val="28"/>
        </w:rPr>
        <w:t xml:space="preserve"> за четыре истекших года. В оценке может использоваться прогнозируемое значение показателя за текущий</w:t>
      </w:r>
      <w:r>
        <w:rPr>
          <w:sz w:val="28"/>
          <w:szCs w:val="28"/>
        </w:rPr>
        <w:t xml:space="preserve"> </w:t>
      </w:r>
      <w:r w:rsidRPr="00ED6DC2">
        <w:rPr>
          <w:sz w:val="28"/>
          <w:szCs w:val="28"/>
        </w:rPr>
        <w:t xml:space="preserve">год. В таком случае оценка строится на усредненных за три истекших года значениях и значении показателя, ожидаемом в текущем году. Прогнозируемое значение — это значение официального прогноза </w:t>
      </w:r>
      <w:proofErr w:type="spellStart"/>
      <w:r w:rsidRPr="00ED6DC2">
        <w:rPr>
          <w:sz w:val="28"/>
          <w:szCs w:val="28"/>
        </w:rPr>
        <w:t>рейтингуемого</w:t>
      </w:r>
      <w:proofErr w:type="spellEnd"/>
      <w:r w:rsidRPr="00ED6DC2">
        <w:rPr>
          <w:sz w:val="28"/>
          <w:szCs w:val="28"/>
        </w:rPr>
        <w:t xml:space="preserve"> лица или мнение </w:t>
      </w:r>
      <w:r>
        <w:rPr>
          <w:sz w:val="28"/>
          <w:szCs w:val="28"/>
        </w:rPr>
        <w:t>АКРА</w:t>
      </w:r>
      <w:r w:rsidRPr="00ED6DC2">
        <w:rPr>
          <w:sz w:val="28"/>
          <w:szCs w:val="28"/>
        </w:rPr>
        <w:t xml:space="preserve">. </w:t>
      </w:r>
    </w:p>
    <w:p w:rsidR="00AA5FD5" w:rsidRDefault="00AA5FD5" w:rsidP="00D07B7A">
      <w:pPr>
        <w:spacing w:line="312" w:lineRule="auto"/>
        <w:ind w:firstLine="709"/>
        <w:jc w:val="both"/>
        <w:rPr>
          <w:sz w:val="28"/>
          <w:szCs w:val="28"/>
        </w:rPr>
      </w:pPr>
      <w:r w:rsidRPr="00ED6DC2">
        <w:rPr>
          <w:sz w:val="28"/>
          <w:szCs w:val="28"/>
        </w:rPr>
        <w:t xml:space="preserve">В зависимости от даты проведения анализа оценка показателей финансового профиля строится на усредненных данных за четыре или за три истекших года, значении, ожидаемом в текущем году и в году, следующим за текущим. Для отдельных показателей финансового блока используется значение текущего года или наихудшее из значений показателя для текущего и следующего за ним года. </w:t>
      </w:r>
    </w:p>
    <w:p w:rsidR="00AA5FD5" w:rsidRDefault="00AA5FD5" w:rsidP="00D07B7A">
      <w:pPr>
        <w:spacing w:line="312" w:lineRule="auto"/>
        <w:ind w:firstLine="709"/>
        <w:jc w:val="both"/>
        <w:rPr>
          <w:sz w:val="28"/>
          <w:szCs w:val="28"/>
        </w:rPr>
      </w:pPr>
      <w:r w:rsidRPr="00ED6DC2">
        <w:rPr>
          <w:sz w:val="28"/>
          <w:szCs w:val="28"/>
        </w:rPr>
        <w:t xml:space="preserve">Если прогнозируемые значения показателей финансового профиля значительно меняются в период, следующий за текущим, или процесс формирования бюджета на следующий год завершен (или находится в активной стадии), оценка может учитывать значения этих лет. Прогнозируемое значение — это значение официального прогноза </w:t>
      </w:r>
      <w:proofErr w:type="spellStart"/>
      <w:r w:rsidRPr="00ED6DC2">
        <w:rPr>
          <w:sz w:val="28"/>
          <w:szCs w:val="28"/>
        </w:rPr>
        <w:t>рейтингуемого</w:t>
      </w:r>
      <w:proofErr w:type="spellEnd"/>
      <w:r w:rsidRPr="00ED6DC2">
        <w:rPr>
          <w:sz w:val="28"/>
          <w:szCs w:val="28"/>
        </w:rPr>
        <w:t xml:space="preserve"> лица или мнение </w:t>
      </w:r>
      <w:r>
        <w:rPr>
          <w:sz w:val="28"/>
          <w:szCs w:val="28"/>
        </w:rPr>
        <w:t>АКРА</w:t>
      </w:r>
      <w:r w:rsidRPr="00ED6DC2">
        <w:rPr>
          <w:sz w:val="28"/>
          <w:szCs w:val="28"/>
        </w:rPr>
        <w:t xml:space="preserve">. </w:t>
      </w:r>
    </w:p>
    <w:p w:rsidR="00AA5FD5" w:rsidRPr="00845063" w:rsidRDefault="00AA5FD5" w:rsidP="00D07B7A">
      <w:pPr>
        <w:spacing w:line="312" w:lineRule="auto"/>
        <w:ind w:firstLine="709"/>
        <w:jc w:val="both"/>
        <w:rPr>
          <w:sz w:val="28"/>
          <w:szCs w:val="28"/>
        </w:rPr>
      </w:pPr>
      <w:r w:rsidRPr="00ED6DC2">
        <w:rPr>
          <w:sz w:val="28"/>
          <w:szCs w:val="28"/>
        </w:rPr>
        <w:t>В тех случаях, когда значение показателя приближается к одной из границ диапазонов или прогнозируемые значения показателя на ближайшие три периода выходят за границы диапазонов, при оценке показателей экономического и финансового профиля могут применяться корректировки на пограничное значение</w:t>
      </w:r>
      <w:r>
        <w:rPr>
          <w:sz w:val="28"/>
          <w:szCs w:val="28"/>
        </w:rPr>
        <w:t>.</w:t>
      </w:r>
    </w:p>
    <w:p w:rsidR="00AA5FD5" w:rsidRDefault="00AA5FD5" w:rsidP="00D07B7A">
      <w:pPr>
        <w:spacing w:line="312" w:lineRule="auto"/>
        <w:ind w:firstLine="709"/>
        <w:jc w:val="both"/>
        <w:rPr>
          <w:sz w:val="28"/>
          <w:szCs w:val="28"/>
        </w:rPr>
      </w:pPr>
      <w:r w:rsidRPr="00BD2438">
        <w:rPr>
          <w:sz w:val="28"/>
          <w:szCs w:val="28"/>
        </w:rPr>
        <w:t xml:space="preserve">В ходе рейтинговой оценки </w:t>
      </w:r>
      <w:r>
        <w:rPr>
          <w:sz w:val="28"/>
          <w:szCs w:val="28"/>
        </w:rPr>
        <w:t>АКРА</w:t>
      </w:r>
      <w:r w:rsidRPr="00BD2438">
        <w:rPr>
          <w:sz w:val="28"/>
          <w:szCs w:val="28"/>
        </w:rPr>
        <w:t xml:space="preserve"> исходит из норм текущего законодательства, не учитывает экстраординарную помощь со стороны федерального правительства, поскольку она, как правило, оказывается субъектам </w:t>
      </w:r>
      <w:r>
        <w:rPr>
          <w:sz w:val="28"/>
          <w:szCs w:val="28"/>
        </w:rPr>
        <w:t>Российской Федерации</w:t>
      </w:r>
      <w:r w:rsidRPr="00BD2438">
        <w:rPr>
          <w:sz w:val="28"/>
          <w:szCs w:val="28"/>
        </w:rPr>
        <w:t xml:space="preserve"> в случае возникновения форс-мажорных обстоятельств и носит разовый характер. Систематические межбюджетные перечисления (субсидии, субвенции, дотации, иные межбюджетные трансферты) регламентируются действующим законодательством и учитываются при определении кредитного рейтинга. Вместе с тем при оценке кредитоспособности муниципальных образований, входящих в состав </w:t>
      </w:r>
      <w:proofErr w:type="spellStart"/>
      <w:r w:rsidRPr="00BD2438">
        <w:rPr>
          <w:sz w:val="28"/>
          <w:szCs w:val="28"/>
        </w:rPr>
        <w:t>рейтингуемого</w:t>
      </w:r>
      <w:proofErr w:type="spellEnd"/>
      <w:r w:rsidRPr="00BD2438">
        <w:rPr>
          <w:sz w:val="28"/>
          <w:szCs w:val="28"/>
        </w:rPr>
        <w:t xml:space="preserve"> лица, АКРА может учитывать состояние бюджета вышестоящего субъекта </w:t>
      </w:r>
      <w:r>
        <w:rPr>
          <w:sz w:val="28"/>
          <w:szCs w:val="28"/>
        </w:rPr>
        <w:t>Российской Федерации</w:t>
      </w:r>
      <w:r w:rsidRPr="00BD2438">
        <w:rPr>
          <w:sz w:val="28"/>
          <w:szCs w:val="28"/>
        </w:rPr>
        <w:t xml:space="preserve"> и его кредитоспособность.</w:t>
      </w:r>
    </w:p>
    <w:p w:rsidR="00AA5FD5" w:rsidRDefault="00AA5FD5" w:rsidP="00D07B7A">
      <w:pPr>
        <w:spacing w:line="312" w:lineRule="auto"/>
        <w:ind w:firstLine="709"/>
        <w:jc w:val="both"/>
        <w:rPr>
          <w:sz w:val="28"/>
          <w:szCs w:val="28"/>
        </w:rPr>
      </w:pPr>
      <w:r w:rsidRPr="000C6A08">
        <w:rPr>
          <w:sz w:val="28"/>
          <w:szCs w:val="28"/>
        </w:rPr>
        <w:t>2.</w:t>
      </w:r>
      <w:r w:rsidR="000C6A08" w:rsidRPr="000C6A08">
        <w:rPr>
          <w:sz w:val="28"/>
          <w:szCs w:val="28"/>
        </w:rPr>
        <w:t>3</w:t>
      </w:r>
      <w:r w:rsidRPr="000C6A08">
        <w:rPr>
          <w:sz w:val="28"/>
          <w:szCs w:val="28"/>
        </w:rPr>
        <w:t>.1.</w:t>
      </w:r>
      <w:r>
        <w:rPr>
          <w:b/>
          <w:sz w:val="28"/>
          <w:szCs w:val="28"/>
        </w:rPr>
        <w:t> </w:t>
      </w:r>
      <w:r w:rsidRPr="000E04C6">
        <w:rPr>
          <w:sz w:val="28"/>
          <w:szCs w:val="28"/>
        </w:rPr>
        <w:t xml:space="preserve">При анализе финансового профиля </w:t>
      </w:r>
      <w:proofErr w:type="spellStart"/>
      <w:r w:rsidRPr="000E04C6">
        <w:rPr>
          <w:sz w:val="28"/>
          <w:szCs w:val="28"/>
        </w:rPr>
        <w:t>рейтингуемого</w:t>
      </w:r>
      <w:proofErr w:type="spellEnd"/>
      <w:r w:rsidRPr="000E04C6">
        <w:rPr>
          <w:sz w:val="28"/>
          <w:szCs w:val="28"/>
        </w:rPr>
        <w:t xml:space="preserve"> лица в рамках методологии </w:t>
      </w:r>
      <w:r>
        <w:rPr>
          <w:sz w:val="28"/>
          <w:szCs w:val="28"/>
        </w:rPr>
        <w:t>АКРА</w:t>
      </w:r>
      <w:r w:rsidRPr="000E04C6">
        <w:rPr>
          <w:sz w:val="28"/>
          <w:szCs w:val="28"/>
        </w:rPr>
        <w:t xml:space="preserve"> основное внимание уделяется следующим блокам в рамках </w:t>
      </w:r>
      <w:proofErr w:type="spellStart"/>
      <w:r w:rsidRPr="000E04C6">
        <w:rPr>
          <w:sz w:val="28"/>
          <w:szCs w:val="28"/>
        </w:rPr>
        <w:t>скоринговой</w:t>
      </w:r>
      <w:proofErr w:type="spellEnd"/>
      <w:r w:rsidRPr="000E04C6">
        <w:rPr>
          <w:sz w:val="28"/>
          <w:szCs w:val="28"/>
        </w:rPr>
        <w:t xml:space="preserve"> карты:</w:t>
      </w:r>
    </w:p>
    <w:p w:rsidR="00AA5FD5" w:rsidRDefault="00AA5FD5" w:rsidP="00D07B7A">
      <w:pPr>
        <w:spacing w:line="312" w:lineRule="auto"/>
        <w:ind w:firstLine="709"/>
        <w:jc w:val="both"/>
        <w:rPr>
          <w:sz w:val="28"/>
          <w:szCs w:val="28"/>
        </w:rPr>
      </w:pPr>
      <w:r w:rsidRPr="000E04C6">
        <w:rPr>
          <w:sz w:val="28"/>
          <w:szCs w:val="28"/>
        </w:rPr>
        <w:t xml:space="preserve"> – оценка профиля бюджета; </w:t>
      </w:r>
    </w:p>
    <w:p w:rsidR="00AA5FD5" w:rsidRDefault="00AA5FD5" w:rsidP="00D07B7A">
      <w:pPr>
        <w:spacing w:line="312" w:lineRule="auto"/>
        <w:ind w:firstLine="709"/>
        <w:jc w:val="both"/>
        <w:rPr>
          <w:sz w:val="28"/>
          <w:szCs w:val="28"/>
        </w:rPr>
      </w:pPr>
      <w:r w:rsidRPr="000E04C6">
        <w:rPr>
          <w:sz w:val="28"/>
          <w:szCs w:val="28"/>
        </w:rPr>
        <w:t>– оценка профиля долга;</w:t>
      </w:r>
    </w:p>
    <w:p w:rsidR="00AA5FD5" w:rsidRDefault="00AA5FD5" w:rsidP="00D07B7A">
      <w:pPr>
        <w:spacing w:line="312" w:lineRule="auto"/>
        <w:ind w:firstLine="709"/>
        <w:jc w:val="both"/>
        <w:rPr>
          <w:sz w:val="28"/>
          <w:szCs w:val="28"/>
        </w:rPr>
      </w:pPr>
      <w:r w:rsidRPr="000E04C6">
        <w:rPr>
          <w:sz w:val="28"/>
          <w:szCs w:val="28"/>
        </w:rPr>
        <w:t xml:space="preserve"> – оценка профиля ликвидности. </w:t>
      </w:r>
    </w:p>
    <w:p w:rsidR="00AA5FD5" w:rsidRDefault="00AA5FD5" w:rsidP="00D07B7A">
      <w:pPr>
        <w:spacing w:line="312" w:lineRule="auto"/>
        <w:ind w:firstLine="709"/>
        <w:jc w:val="both"/>
        <w:rPr>
          <w:sz w:val="28"/>
          <w:szCs w:val="28"/>
        </w:rPr>
      </w:pPr>
      <w:r w:rsidRPr="000E04C6">
        <w:rPr>
          <w:sz w:val="28"/>
          <w:szCs w:val="28"/>
        </w:rPr>
        <w:t xml:space="preserve">Каждый блок состоит из нескольких показателей. Сумма весов отдельных блоков </w:t>
      </w:r>
      <w:proofErr w:type="spellStart"/>
      <w:r w:rsidRPr="000E04C6">
        <w:rPr>
          <w:sz w:val="28"/>
          <w:szCs w:val="28"/>
        </w:rPr>
        <w:t>скоринговой</w:t>
      </w:r>
      <w:proofErr w:type="spellEnd"/>
      <w:r w:rsidRPr="000E04C6">
        <w:rPr>
          <w:sz w:val="28"/>
          <w:szCs w:val="28"/>
        </w:rPr>
        <w:t xml:space="preserve"> карты составляет 100%. Сумма весов показателей внутри каждого блока составляет 100%. Итоговые веса показателей </w:t>
      </w:r>
      <w:proofErr w:type="spellStart"/>
      <w:r w:rsidRPr="000E04C6">
        <w:rPr>
          <w:sz w:val="28"/>
          <w:szCs w:val="28"/>
        </w:rPr>
        <w:t>скоринговой</w:t>
      </w:r>
      <w:proofErr w:type="spellEnd"/>
      <w:r w:rsidRPr="000E04C6">
        <w:rPr>
          <w:sz w:val="28"/>
          <w:szCs w:val="28"/>
        </w:rPr>
        <w:t xml:space="preserve"> карты рассчитываются как произведение весов отдельных блоков на веса показателей внутри блоков. </w:t>
      </w:r>
    </w:p>
    <w:p w:rsidR="00AA5FD5" w:rsidRDefault="00AA5FD5" w:rsidP="00D07B7A">
      <w:pPr>
        <w:spacing w:line="312" w:lineRule="auto"/>
        <w:ind w:firstLine="709"/>
        <w:jc w:val="both"/>
        <w:rPr>
          <w:sz w:val="28"/>
          <w:szCs w:val="28"/>
        </w:rPr>
      </w:pPr>
      <w:r w:rsidRPr="000E04C6">
        <w:rPr>
          <w:sz w:val="28"/>
          <w:szCs w:val="28"/>
        </w:rPr>
        <w:t xml:space="preserve">Оценки показателей, формирующих блоки, умноженные на их итоговые веса, формируют суммарный </w:t>
      </w:r>
      <w:proofErr w:type="spellStart"/>
      <w:r w:rsidRPr="000E04C6">
        <w:rPr>
          <w:sz w:val="28"/>
          <w:szCs w:val="28"/>
        </w:rPr>
        <w:t>скоринговый</w:t>
      </w:r>
      <w:proofErr w:type="spellEnd"/>
      <w:r w:rsidRPr="000E04C6">
        <w:rPr>
          <w:sz w:val="28"/>
          <w:szCs w:val="28"/>
        </w:rPr>
        <w:t xml:space="preserve"> балл, на основании которого финансовый профиль </w:t>
      </w:r>
      <w:proofErr w:type="spellStart"/>
      <w:r w:rsidRPr="000E04C6">
        <w:rPr>
          <w:sz w:val="28"/>
          <w:szCs w:val="28"/>
        </w:rPr>
        <w:t>рейтингуемого</w:t>
      </w:r>
      <w:proofErr w:type="spellEnd"/>
      <w:r w:rsidRPr="000E04C6">
        <w:rPr>
          <w:sz w:val="28"/>
          <w:szCs w:val="28"/>
        </w:rPr>
        <w:t xml:space="preserve"> лица классифицируется в одну из пятнадцати оценочных категорий. </w:t>
      </w:r>
    </w:p>
    <w:p w:rsidR="00AA5FD5" w:rsidRPr="000E04C6" w:rsidRDefault="00AA5FD5" w:rsidP="00D07B7A">
      <w:pPr>
        <w:spacing w:line="312" w:lineRule="auto"/>
        <w:ind w:firstLine="709"/>
        <w:jc w:val="both"/>
        <w:rPr>
          <w:sz w:val="28"/>
          <w:szCs w:val="28"/>
        </w:rPr>
      </w:pPr>
      <w:r w:rsidRPr="000E04C6">
        <w:rPr>
          <w:sz w:val="28"/>
          <w:szCs w:val="28"/>
        </w:rPr>
        <w:t xml:space="preserve">Итоговое число показателей, оцениваемых в рамках </w:t>
      </w:r>
      <w:proofErr w:type="spellStart"/>
      <w:r w:rsidRPr="000E04C6">
        <w:rPr>
          <w:sz w:val="28"/>
          <w:szCs w:val="28"/>
        </w:rPr>
        <w:t>скоринговой</w:t>
      </w:r>
      <w:proofErr w:type="spellEnd"/>
      <w:r w:rsidRPr="000E04C6">
        <w:rPr>
          <w:sz w:val="28"/>
          <w:szCs w:val="28"/>
        </w:rPr>
        <w:t xml:space="preserve"> карты, равно 12, в том числе 3 качественных.</w:t>
      </w:r>
    </w:p>
    <w:p w:rsidR="00AA5FD5" w:rsidRPr="000C6A08" w:rsidRDefault="00AA5FD5" w:rsidP="00D07B7A">
      <w:pPr>
        <w:spacing w:line="312" w:lineRule="auto"/>
        <w:ind w:firstLine="709"/>
        <w:jc w:val="both"/>
        <w:rPr>
          <w:sz w:val="28"/>
          <w:szCs w:val="28"/>
        </w:rPr>
      </w:pPr>
      <w:r w:rsidRPr="000C6A08">
        <w:rPr>
          <w:sz w:val="28"/>
          <w:szCs w:val="28"/>
        </w:rPr>
        <w:t>2.</w:t>
      </w:r>
      <w:r w:rsidR="000C6A08" w:rsidRPr="000C6A08">
        <w:rPr>
          <w:sz w:val="28"/>
          <w:szCs w:val="28"/>
        </w:rPr>
        <w:t>3.</w:t>
      </w:r>
      <w:r w:rsidRPr="000C6A08">
        <w:rPr>
          <w:sz w:val="28"/>
          <w:szCs w:val="28"/>
        </w:rPr>
        <w:t xml:space="preserve">2. Показатели, используемые АКРА в рамках оценки профиля бюджета </w:t>
      </w:r>
      <w:proofErr w:type="spellStart"/>
      <w:r w:rsidRPr="000C6A08">
        <w:rPr>
          <w:sz w:val="28"/>
          <w:szCs w:val="28"/>
        </w:rPr>
        <w:t>рейтингуемого</w:t>
      </w:r>
      <w:proofErr w:type="spellEnd"/>
      <w:r w:rsidRPr="000C6A08">
        <w:rPr>
          <w:sz w:val="28"/>
          <w:szCs w:val="28"/>
        </w:rPr>
        <w:t xml:space="preserve"> лица:</w:t>
      </w:r>
    </w:p>
    <w:p w:rsidR="00AA5FD5" w:rsidRDefault="00AA5FD5" w:rsidP="00D07B7A">
      <w:pPr>
        <w:spacing w:line="312" w:lineRule="auto"/>
        <w:ind w:firstLine="709"/>
        <w:jc w:val="both"/>
        <w:rPr>
          <w:sz w:val="28"/>
          <w:szCs w:val="28"/>
        </w:rPr>
      </w:pPr>
      <w:r w:rsidRPr="000C6A08">
        <w:rPr>
          <w:sz w:val="28"/>
          <w:szCs w:val="28"/>
        </w:rPr>
        <w:t>1) операционная эффективность.</w:t>
      </w:r>
      <w:r w:rsidRPr="00A3551E">
        <w:rPr>
          <w:sz w:val="28"/>
          <w:szCs w:val="28"/>
        </w:rPr>
        <w:t xml:space="preserve"> Для оценки используется усредненное соотношение величины </w:t>
      </w:r>
      <w:r>
        <w:rPr>
          <w:sz w:val="28"/>
          <w:szCs w:val="28"/>
        </w:rPr>
        <w:t>баланса текущих операций (далее – БТО)</w:t>
      </w:r>
      <w:r w:rsidRPr="00A3551E">
        <w:rPr>
          <w:sz w:val="28"/>
          <w:szCs w:val="28"/>
        </w:rPr>
        <w:t xml:space="preserve"> и текущих доходов. Показатель может принимать положительные и отрицательные значения. Стабильно отрицательное соотношение за анализируемый период возможно в случае отрицательного БТО (текущие доходы </w:t>
      </w:r>
      <w:proofErr w:type="spellStart"/>
      <w:r w:rsidRPr="00A3551E">
        <w:rPr>
          <w:sz w:val="28"/>
          <w:szCs w:val="28"/>
        </w:rPr>
        <w:t>рейтингуемого</w:t>
      </w:r>
      <w:proofErr w:type="spellEnd"/>
      <w:r w:rsidRPr="00A3551E">
        <w:rPr>
          <w:sz w:val="28"/>
          <w:szCs w:val="28"/>
        </w:rPr>
        <w:t xml:space="preserve"> лица недостаточны для покрытия текущих расходов). Привлекаемый в таких условиях долг будет направлен на </w:t>
      </w:r>
      <w:r>
        <w:rPr>
          <w:sz w:val="28"/>
          <w:szCs w:val="28"/>
        </w:rPr>
        <w:t>финансирование текущих расходов;</w:t>
      </w:r>
    </w:p>
    <w:p w:rsidR="00AA5FD5" w:rsidRDefault="00AA5FD5" w:rsidP="00D07B7A">
      <w:pPr>
        <w:spacing w:line="312" w:lineRule="auto"/>
        <w:ind w:firstLine="709"/>
        <w:jc w:val="both"/>
        <w:rPr>
          <w:sz w:val="28"/>
          <w:szCs w:val="28"/>
        </w:rPr>
      </w:pPr>
      <w:r w:rsidRPr="000C6A08">
        <w:rPr>
          <w:sz w:val="28"/>
          <w:szCs w:val="28"/>
        </w:rPr>
        <w:t>2) доля собственных доходов бюджета.</w:t>
      </w:r>
      <w:r w:rsidRPr="00CA7A46">
        <w:rPr>
          <w:sz w:val="28"/>
          <w:szCs w:val="28"/>
        </w:rPr>
        <w:t xml:space="preserve"> Для оценки используется усредненное соотношение </w:t>
      </w:r>
      <w:r>
        <w:rPr>
          <w:sz w:val="28"/>
          <w:szCs w:val="28"/>
        </w:rPr>
        <w:t>собственных налоговых и неналоговых доходов</w:t>
      </w:r>
      <w:r w:rsidRPr="00CA7A46">
        <w:rPr>
          <w:sz w:val="28"/>
          <w:szCs w:val="28"/>
        </w:rPr>
        <w:t xml:space="preserve"> </w:t>
      </w:r>
      <w:r>
        <w:rPr>
          <w:sz w:val="28"/>
          <w:szCs w:val="28"/>
        </w:rPr>
        <w:t xml:space="preserve">(далее – ННД) </w:t>
      </w:r>
      <w:r w:rsidRPr="00CA7A46">
        <w:rPr>
          <w:sz w:val="28"/>
          <w:szCs w:val="28"/>
        </w:rPr>
        <w:t xml:space="preserve">и совокупных доходов (без учета субвенций и других доходов, которые выделяются для финансирования передаваемых </w:t>
      </w:r>
      <w:proofErr w:type="spellStart"/>
      <w:r w:rsidRPr="00CA7A46">
        <w:rPr>
          <w:sz w:val="28"/>
          <w:szCs w:val="28"/>
        </w:rPr>
        <w:t>рейтингуемому</w:t>
      </w:r>
      <w:proofErr w:type="spellEnd"/>
      <w:r w:rsidRPr="00CA7A46">
        <w:rPr>
          <w:sz w:val="28"/>
          <w:szCs w:val="28"/>
        </w:rPr>
        <w:t xml:space="preserve"> лицу полномочий).</w:t>
      </w:r>
    </w:p>
    <w:p w:rsidR="00AA5FD5" w:rsidRDefault="00AA5FD5" w:rsidP="00D07B7A">
      <w:pPr>
        <w:spacing w:line="312" w:lineRule="auto"/>
        <w:ind w:firstLine="709"/>
        <w:jc w:val="both"/>
        <w:rPr>
          <w:sz w:val="28"/>
          <w:szCs w:val="28"/>
        </w:rPr>
      </w:pPr>
      <w:r w:rsidRPr="000C6A08">
        <w:rPr>
          <w:sz w:val="28"/>
          <w:szCs w:val="28"/>
        </w:rPr>
        <w:t>3) оценка гибкости бюджетных расходов.</w:t>
      </w:r>
      <w:r w:rsidRPr="001B16CF">
        <w:rPr>
          <w:sz w:val="28"/>
          <w:szCs w:val="28"/>
        </w:rPr>
        <w:t xml:space="preserve"> Оценка гибкости расходов бюджета включает количественный и качественный анализ.</w:t>
      </w:r>
      <w:r>
        <w:rPr>
          <w:sz w:val="28"/>
          <w:szCs w:val="28"/>
        </w:rPr>
        <w:t xml:space="preserve"> </w:t>
      </w:r>
      <w:r w:rsidRPr="00E35189">
        <w:rPr>
          <w:sz w:val="28"/>
          <w:szCs w:val="28"/>
        </w:rPr>
        <w:t>Количественный анализ — расчет доли капитальных расходов в совокупных расхода</w:t>
      </w:r>
      <w:r>
        <w:rPr>
          <w:sz w:val="28"/>
          <w:szCs w:val="28"/>
        </w:rPr>
        <w:t xml:space="preserve">х бюджета без учета субвенций. </w:t>
      </w:r>
      <w:r w:rsidRPr="00E35189">
        <w:rPr>
          <w:sz w:val="28"/>
          <w:szCs w:val="28"/>
        </w:rPr>
        <w:t>Качественный анализ производится исходя из потребности и самостоятельности фина</w:t>
      </w:r>
      <w:r>
        <w:rPr>
          <w:sz w:val="28"/>
          <w:szCs w:val="28"/>
        </w:rPr>
        <w:t>нсирования капитальных расходов;</w:t>
      </w:r>
    </w:p>
    <w:p w:rsidR="00AA5FD5" w:rsidRPr="006D3E47" w:rsidRDefault="00AA5FD5" w:rsidP="00D07B7A">
      <w:pPr>
        <w:spacing w:line="312" w:lineRule="auto"/>
        <w:ind w:firstLine="709"/>
        <w:jc w:val="both"/>
        <w:rPr>
          <w:sz w:val="28"/>
          <w:szCs w:val="28"/>
        </w:rPr>
      </w:pPr>
      <w:r w:rsidRPr="000C6A08">
        <w:rPr>
          <w:sz w:val="28"/>
          <w:szCs w:val="28"/>
        </w:rPr>
        <w:t>4) уровень потребности в долговом финансировании.</w:t>
      </w:r>
      <w:r w:rsidRPr="006D3E47">
        <w:rPr>
          <w:sz w:val="28"/>
          <w:szCs w:val="28"/>
        </w:rPr>
        <w:t xml:space="preserve"> Показатель рассчитывается как отношение </w:t>
      </w:r>
      <w:r>
        <w:rPr>
          <w:sz w:val="28"/>
          <w:szCs w:val="28"/>
        </w:rPr>
        <w:t>модифицированного бюджетного</w:t>
      </w:r>
      <w:r w:rsidRPr="00AD0DBC">
        <w:rPr>
          <w:sz w:val="28"/>
          <w:szCs w:val="28"/>
        </w:rPr>
        <w:t xml:space="preserve"> дефицит</w:t>
      </w:r>
      <w:r>
        <w:rPr>
          <w:sz w:val="28"/>
          <w:szCs w:val="28"/>
        </w:rPr>
        <w:t>а</w:t>
      </w:r>
      <w:r>
        <w:rPr>
          <w:rStyle w:val="a5"/>
          <w:sz w:val="28"/>
          <w:szCs w:val="28"/>
        </w:rPr>
        <w:footnoteReference w:id="4"/>
      </w:r>
      <w:r w:rsidRPr="006D3E47">
        <w:rPr>
          <w:sz w:val="28"/>
          <w:szCs w:val="28"/>
        </w:rPr>
        <w:t xml:space="preserve"> к текущим доходам. Данный показатель отражает уровень потребности в заимствованиях относительно размера тек</w:t>
      </w:r>
      <w:r>
        <w:rPr>
          <w:sz w:val="28"/>
          <w:szCs w:val="28"/>
        </w:rPr>
        <w:t xml:space="preserve">ущих доходов </w:t>
      </w:r>
      <w:proofErr w:type="spellStart"/>
      <w:r>
        <w:rPr>
          <w:sz w:val="28"/>
          <w:szCs w:val="28"/>
        </w:rPr>
        <w:t>рейтингуемого</w:t>
      </w:r>
      <w:proofErr w:type="spellEnd"/>
      <w:r>
        <w:rPr>
          <w:sz w:val="28"/>
          <w:szCs w:val="28"/>
        </w:rPr>
        <w:t xml:space="preserve"> лица;</w:t>
      </w:r>
    </w:p>
    <w:p w:rsidR="00AA5FD5" w:rsidRDefault="00AA5FD5" w:rsidP="00D07B7A">
      <w:pPr>
        <w:spacing w:line="312" w:lineRule="auto"/>
        <w:ind w:firstLine="709"/>
        <w:jc w:val="both"/>
        <w:rPr>
          <w:sz w:val="28"/>
          <w:szCs w:val="28"/>
        </w:rPr>
      </w:pPr>
      <w:r w:rsidRPr="000C6A08">
        <w:rPr>
          <w:sz w:val="28"/>
          <w:szCs w:val="28"/>
        </w:rPr>
        <w:t>5) качественная оценка бюджетного профиля.</w:t>
      </w:r>
      <w:r w:rsidRPr="005D2908">
        <w:rPr>
          <w:sz w:val="28"/>
          <w:szCs w:val="28"/>
        </w:rPr>
        <w:t xml:space="preserve"> Помимо расчетных количественных характеристик, профиль бюджета получает качественную оценку. В зависимости от того, признается ли профиль бюджета слабым, умеренно слабым, средним, умеренно сильным или сильным, ему присваивается оценка от «5» до «1» соответственно.</w:t>
      </w:r>
    </w:p>
    <w:p w:rsidR="00AA5FD5" w:rsidRPr="000C6A08" w:rsidRDefault="00AA5FD5" w:rsidP="00D07B7A">
      <w:pPr>
        <w:spacing w:line="312" w:lineRule="auto"/>
        <w:ind w:firstLine="709"/>
        <w:jc w:val="both"/>
        <w:rPr>
          <w:sz w:val="28"/>
          <w:szCs w:val="28"/>
        </w:rPr>
      </w:pPr>
      <w:r w:rsidRPr="000C6A08">
        <w:rPr>
          <w:sz w:val="28"/>
          <w:szCs w:val="28"/>
        </w:rPr>
        <w:t>2.</w:t>
      </w:r>
      <w:r w:rsidR="000C6A08" w:rsidRPr="000C6A08">
        <w:rPr>
          <w:sz w:val="28"/>
          <w:szCs w:val="28"/>
        </w:rPr>
        <w:t>3.3</w:t>
      </w:r>
      <w:r w:rsidRPr="000C6A08">
        <w:rPr>
          <w:sz w:val="28"/>
          <w:szCs w:val="28"/>
        </w:rPr>
        <w:t xml:space="preserve">. Показатели, используемые в рамках оценки профиля долга </w:t>
      </w:r>
      <w:proofErr w:type="spellStart"/>
      <w:r w:rsidRPr="000C6A08">
        <w:rPr>
          <w:sz w:val="28"/>
          <w:szCs w:val="28"/>
        </w:rPr>
        <w:t>рейтингуемого</w:t>
      </w:r>
      <w:proofErr w:type="spellEnd"/>
      <w:r w:rsidRPr="000C6A08">
        <w:rPr>
          <w:sz w:val="28"/>
          <w:szCs w:val="28"/>
        </w:rPr>
        <w:t xml:space="preserve"> лица: </w:t>
      </w:r>
    </w:p>
    <w:p w:rsidR="00AA5FD5" w:rsidRDefault="00AA5FD5" w:rsidP="00D07B7A">
      <w:pPr>
        <w:spacing w:line="312" w:lineRule="auto"/>
        <w:ind w:firstLine="709"/>
        <w:jc w:val="both"/>
        <w:rPr>
          <w:sz w:val="28"/>
          <w:szCs w:val="28"/>
        </w:rPr>
      </w:pPr>
      <w:r w:rsidRPr="000C6A08">
        <w:rPr>
          <w:sz w:val="28"/>
          <w:szCs w:val="28"/>
        </w:rPr>
        <w:t>1) уровень долговой нагрузки.</w:t>
      </w:r>
      <w:r w:rsidRPr="00AB5D10">
        <w:rPr>
          <w:b/>
          <w:sz w:val="28"/>
          <w:szCs w:val="28"/>
        </w:rPr>
        <w:t xml:space="preserve"> </w:t>
      </w:r>
      <w:r w:rsidRPr="00AB5D10">
        <w:rPr>
          <w:sz w:val="28"/>
          <w:szCs w:val="28"/>
        </w:rPr>
        <w:t xml:space="preserve">Для оценки используется соотношение совокупного долга на конец текущего года и текущих доходов за текущий год. Также для оценки указанного соотношения могут использоваться прогнозируемые данные на конец года, следующего за текущим. Под долгом понимается совокупность долговых обязательств по долговой книге </w:t>
      </w:r>
      <w:proofErr w:type="spellStart"/>
      <w:r w:rsidRPr="00AB5D10">
        <w:rPr>
          <w:sz w:val="28"/>
          <w:szCs w:val="28"/>
        </w:rPr>
        <w:t>рейтингуемого</w:t>
      </w:r>
      <w:proofErr w:type="spellEnd"/>
      <w:r w:rsidRPr="00AB5D10">
        <w:rPr>
          <w:sz w:val="28"/>
          <w:szCs w:val="28"/>
        </w:rPr>
        <w:t xml:space="preserve"> лица: долг перед финансовыми организациями, долг перед бюджетами, облигации и выданные гарантии</w:t>
      </w:r>
      <w:r>
        <w:rPr>
          <w:sz w:val="28"/>
          <w:szCs w:val="28"/>
        </w:rPr>
        <w:t>;</w:t>
      </w:r>
    </w:p>
    <w:p w:rsidR="00AA5FD5" w:rsidRDefault="00AA5FD5" w:rsidP="00D07B7A">
      <w:pPr>
        <w:spacing w:line="312" w:lineRule="auto"/>
        <w:ind w:firstLine="709"/>
        <w:jc w:val="both"/>
        <w:rPr>
          <w:sz w:val="28"/>
          <w:szCs w:val="28"/>
        </w:rPr>
      </w:pPr>
      <w:r w:rsidRPr="000C6A08">
        <w:rPr>
          <w:sz w:val="28"/>
          <w:szCs w:val="28"/>
        </w:rPr>
        <w:t xml:space="preserve">2) доля краткосрочного долга. </w:t>
      </w:r>
      <w:r w:rsidRPr="00B6287C">
        <w:rPr>
          <w:sz w:val="28"/>
          <w:szCs w:val="28"/>
        </w:rPr>
        <w:t>Для оценки структуры долга по срокам погашения используется отношение краткосрочного долга (погашение которого ожидается в те</w:t>
      </w:r>
      <w:r>
        <w:rPr>
          <w:sz w:val="28"/>
          <w:szCs w:val="28"/>
        </w:rPr>
        <w:t>чение 12 месяцев) к совокупному;</w:t>
      </w:r>
    </w:p>
    <w:p w:rsidR="00AA5FD5" w:rsidRDefault="00AA5FD5" w:rsidP="00D07B7A">
      <w:pPr>
        <w:spacing w:line="312" w:lineRule="auto"/>
        <w:ind w:firstLine="709"/>
        <w:jc w:val="both"/>
        <w:rPr>
          <w:sz w:val="28"/>
          <w:szCs w:val="28"/>
        </w:rPr>
      </w:pPr>
      <w:r w:rsidRPr="000C6A08">
        <w:rPr>
          <w:sz w:val="28"/>
          <w:szCs w:val="28"/>
        </w:rPr>
        <w:t>3) общий уровень долговой нагрузки</w:t>
      </w:r>
      <w:r w:rsidRPr="0092764C">
        <w:rPr>
          <w:sz w:val="28"/>
          <w:szCs w:val="28"/>
        </w:rPr>
        <w:t>. Для расчета данного показателя используется отношение усредненного долг</w:t>
      </w:r>
      <w:r>
        <w:rPr>
          <w:sz w:val="28"/>
          <w:szCs w:val="28"/>
        </w:rPr>
        <w:t>а к усредненному показателю ВРП;</w:t>
      </w:r>
    </w:p>
    <w:p w:rsidR="00AA5FD5" w:rsidRDefault="00AA5FD5" w:rsidP="00D07B7A">
      <w:pPr>
        <w:spacing w:line="312" w:lineRule="auto"/>
        <w:ind w:firstLine="709"/>
        <w:jc w:val="both"/>
        <w:rPr>
          <w:sz w:val="28"/>
          <w:szCs w:val="28"/>
        </w:rPr>
      </w:pPr>
      <w:r w:rsidRPr="000C6A08">
        <w:rPr>
          <w:sz w:val="28"/>
          <w:szCs w:val="28"/>
        </w:rPr>
        <w:t>4) доля процентных расходов.</w:t>
      </w:r>
      <w:r w:rsidRPr="0092764C">
        <w:rPr>
          <w:sz w:val="28"/>
          <w:szCs w:val="28"/>
        </w:rPr>
        <w:t xml:space="preserve"> Для оценки уровня покрытия процентных платежей рассчитывается отношение усредненных расходов на обслуживание долга (процентных расходов) к усредненным совокупным расходам</w:t>
      </w:r>
      <w:r>
        <w:rPr>
          <w:sz w:val="28"/>
          <w:szCs w:val="28"/>
        </w:rPr>
        <w:t xml:space="preserve"> бюджета (без учета субвенций);</w:t>
      </w:r>
    </w:p>
    <w:p w:rsidR="00AA5FD5" w:rsidRPr="00AB5D10" w:rsidRDefault="00AA5FD5" w:rsidP="00D07B7A">
      <w:pPr>
        <w:spacing w:line="312" w:lineRule="auto"/>
        <w:ind w:firstLine="709"/>
        <w:jc w:val="both"/>
        <w:rPr>
          <w:sz w:val="28"/>
          <w:szCs w:val="28"/>
        </w:rPr>
      </w:pPr>
      <w:r w:rsidRPr="000C6A08">
        <w:rPr>
          <w:sz w:val="28"/>
          <w:szCs w:val="28"/>
        </w:rPr>
        <w:t xml:space="preserve">5) качественная оценка долгового профиля. </w:t>
      </w:r>
      <w:r w:rsidRPr="0092764C">
        <w:rPr>
          <w:sz w:val="28"/>
          <w:szCs w:val="28"/>
        </w:rPr>
        <w:t>Помимо расчетных количественных характеристик, профиль долга получает качественную оценку от «1» (наилучшая оце</w:t>
      </w:r>
      <w:r>
        <w:rPr>
          <w:sz w:val="28"/>
          <w:szCs w:val="28"/>
        </w:rPr>
        <w:t>нка) до «5» (наихудшая оценка).</w:t>
      </w:r>
    </w:p>
    <w:p w:rsidR="00AA5FD5" w:rsidRPr="000C6A08" w:rsidRDefault="00AA5FD5" w:rsidP="00D07B7A">
      <w:pPr>
        <w:spacing w:line="312" w:lineRule="auto"/>
        <w:ind w:firstLine="709"/>
        <w:jc w:val="both"/>
        <w:rPr>
          <w:sz w:val="28"/>
          <w:szCs w:val="28"/>
        </w:rPr>
      </w:pPr>
      <w:r w:rsidRPr="000C6A08">
        <w:rPr>
          <w:sz w:val="28"/>
          <w:szCs w:val="28"/>
        </w:rPr>
        <w:t>2.3.</w:t>
      </w:r>
      <w:r w:rsidR="000C6A08" w:rsidRPr="000C6A08">
        <w:rPr>
          <w:sz w:val="28"/>
          <w:szCs w:val="28"/>
        </w:rPr>
        <w:t>4.</w:t>
      </w:r>
      <w:r w:rsidRPr="000C6A08">
        <w:rPr>
          <w:sz w:val="28"/>
          <w:szCs w:val="28"/>
        </w:rPr>
        <w:t> Применяемый алгоритм оценки профиля ликвидности:</w:t>
      </w:r>
    </w:p>
    <w:p w:rsidR="00AA5FD5" w:rsidRDefault="00AA5FD5" w:rsidP="00D07B7A">
      <w:pPr>
        <w:spacing w:line="312" w:lineRule="auto"/>
        <w:ind w:firstLine="709"/>
        <w:jc w:val="both"/>
        <w:rPr>
          <w:sz w:val="28"/>
          <w:szCs w:val="28"/>
        </w:rPr>
      </w:pPr>
      <w:r w:rsidRPr="000C6A08">
        <w:rPr>
          <w:sz w:val="28"/>
          <w:szCs w:val="28"/>
        </w:rPr>
        <w:t>1) коэффициент ликвидности.</w:t>
      </w:r>
      <w:r w:rsidRPr="00B67B6E">
        <w:rPr>
          <w:b/>
          <w:sz w:val="28"/>
          <w:szCs w:val="28"/>
        </w:rPr>
        <w:t xml:space="preserve"> </w:t>
      </w:r>
      <w:r w:rsidRPr="00B67B6E">
        <w:rPr>
          <w:sz w:val="28"/>
          <w:szCs w:val="28"/>
        </w:rPr>
        <w:t xml:space="preserve">Для оценки уровня ликвидности рассчитывается соотношение источников ликвидности и потребности в ликвидности на текущий год. К источникам ликвидности относятся остатки на счетах, неиспользованные кредитные линии со сроком погашения, превышающим 12 месяцев, и величина </w:t>
      </w:r>
      <w:r>
        <w:rPr>
          <w:sz w:val="28"/>
          <w:szCs w:val="28"/>
        </w:rPr>
        <w:t>модифицированного свободного денежного</w:t>
      </w:r>
      <w:r w:rsidRPr="00A16A6F">
        <w:rPr>
          <w:sz w:val="28"/>
          <w:szCs w:val="28"/>
        </w:rPr>
        <w:t xml:space="preserve"> поток</w:t>
      </w:r>
      <w:r>
        <w:rPr>
          <w:sz w:val="28"/>
          <w:szCs w:val="28"/>
        </w:rPr>
        <w:t>а</w:t>
      </w:r>
      <w:r>
        <w:rPr>
          <w:rStyle w:val="a5"/>
          <w:sz w:val="28"/>
          <w:szCs w:val="28"/>
        </w:rPr>
        <w:footnoteReference w:id="5"/>
      </w:r>
      <w:r w:rsidR="000A292B">
        <w:rPr>
          <w:sz w:val="28"/>
          <w:szCs w:val="28"/>
        </w:rPr>
        <w:t xml:space="preserve"> (в </w:t>
      </w:r>
      <w:r w:rsidRPr="00B67B6E">
        <w:rPr>
          <w:sz w:val="28"/>
          <w:szCs w:val="28"/>
        </w:rPr>
        <w:t xml:space="preserve">случае, если он положителен). К потребности в ликвидности относятся величина краткосрочного долга и величина </w:t>
      </w:r>
      <w:r w:rsidRPr="00A16A6F">
        <w:rPr>
          <w:sz w:val="28"/>
          <w:szCs w:val="28"/>
        </w:rPr>
        <w:t>модифицированного свободного денежного потока</w:t>
      </w:r>
      <w:r w:rsidRPr="00B67B6E">
        <w:rPr>
          <w:sz w:val="28"/>
          <w:szCs w:val="28"/>
        </w:rPr>
        <w:t xml:space="preserve"> </w:t>
      </w:r>
      <w:r>
        <w:rPr>
          <w:sz w:val="28"/>
          <w:szCs w:val="28"/>
        </w:rPr>
        <w:t>(в случае, если он отрицателен);</w:t>
      </w:r>
    </w:p>
    <w:p w:rsidR="00AA5FD5" w:rsidRPr="002A64EC" w:rsidRDefault="00AA5FD5" w:rsidP="00D07B7A">
      <w:pPr>
        <w:spacing w:line="312" w:lineRule="auto"/>
        <w:ind w:firstLine="709"/>
        <w:jc w:val="both"/>
        <w:rPr>
          <w:sz w:val="28"/>
          <w:szCs w:val="28"/>
        </w:rPr>
      </w:pPr>
      <w:r w:rsidRPr="000C6A08">
        <w:rPr>
          <w:sz w:val="28"/>
          <w:szCs w:val="28"/>
        </w:rPr>
        <w:t>2) качественная оценка профиля ликвидности.</w:t>
      </w:r>
      <w:r w:rsidRPr="002A64EC">
        <w:rPr>
          <w:b/>
          <w:sz w:val="28"/>
          <w:szCs w:val="28"/>
        </w:rPr>
        <w:t xml:space="preserve"> </w:t>
      </w:r>
      <w:r w:rsidRPr="002A64EC">
        <w:rPr>
          <w:sz w:val="28"/>
          <w:szCs w:val="28"/>
        </w:rPr>
        <w:t>Помимо расчетных количественных характеристик, профиль ликвидности признается слабым, умеренно слабым, средним, умеренно сильным или сильным и получает оценку от «5» до «1» соответственно</w:t>
      </w:r>
      <w:r>
        <w:rPr>
          <w:sz w:val="28"/>
          <w:szCs w:val="28"/>
        </w:rPr>
        <w:t>.</w:t>
      </w:r>
    </w:p>
    <w:p w:rsidR="00AA5FD5" w:rsidRPr="000C6A08" w:rsidRDefault="00AA5FD5" w:rsidP="00D07B7A">
      <w:pPr>
        <w:spacing w:line="312" w:lineRule="auto"/>
        <w:ind w:firstLine="709"/>
        <w:jc w:val="both"/>
        <w:rPr>
          <w:sz w:val="28"/>
          <w:szCs w:val="28"/>
        </w:rPr>
      </w:pPr>
      <w:r w:rsidRPr="000C6A08">
        <w:rPr>
          <w:sz w:val="28"/>
          <w:szCs w:val="28"/>
        </w:rPr>
        <w:t>2.</w:t>
      </w:r>
      <w:r w:rsidR="000C6A08" w:rsidRPr="000C6A08">
        <w:rPr>
          <w:sz w:val="28"/>
          <w:szCs w:val="28"/>
        </w:rPr>
        <w:t>4</w:t>
      </w:r>
      <w:r w:rsidRPr="000C6A08">
        <w:rPr>
          <w:sz w:val="28"/>
          <w:szCs w:val="28"/>
        </w:rPr>
        <w:t>. Общество с ограниченной ответственностью «Национальные кредитные рейтинги» (далее — «НКР»).</w:t>
      </w:r>
    </w:p>
    <w:p w:rsidR="00AA5FD5" w:rsidRPr="005A6DFB" w:rsidRDefault="00AA5FD5" w:rsidP="00D07B7A">
      <w:pPr>
        <w:spacing w:line="312" w:lineRule="auto"/>
        <w:ind w:firstLine="709"/>
        <w:jc w:val="both"/>
        <w:rPr>
          <w:sz w:val="28"/>
          <w:szCs w:val="28"/>
        </w:rPr>
      </w:pPr>
      <w:r w:rsidRPr="005A6DFB">
        <w:rPr>
          <w:sz w:val="28"/>
          <w:szCs w:val="28"/>
        </w:rPr>
        <w:t xml:space="preserve">На официальном интернет-сайте «НКР» </w:t>
      </w:r>
      <w:hyperlink r:id="rId11" w:history="1">
        <w:r w:rsidRPr="00172F71">
          <w:rPr>
            <w:rStyle w:val="a6"/>
            <w:sz w:val="28"/>
            <w:szCs w:val="28"/>
          </w:rPr>
          <w:t>https://ratings.ru/</w:t>
        </w:r>
      </w:hyperlink>
      <w:r>
        <w:rPr>
          <w:sz w:val="28"/>
          <w:szCs w:val="28"/>
        </w:rPr>
        <w:t xml:space="preserve"> публикуются кредитные рейтинги</w:t>
      </w:r>
      <w:r w:rsidRPr="005A6DFB">
        <w:rPr>
          <w:sz w:val="28"/>
          <w:szCs w:val="28"/>
        </w:rPr>
        <w:t xml:space="preserve"> </w:t>
      </w:r>
      <w:r>
        <w:rPr>
          <w:sz w:val="28"/>
          <w:szCs w:val="28"/>
        </w:rPr>
        <w:t>региональных и муниципальных органов</w:t>
      </w:r>
      <w:r w:rsidRPr="005A6DFB">
        <w:rPr>
          <w:sz w:val="28"/>
          <w:szCs w:val="28"/>
        </w:rPr>
        <w:t xml:space="preserve"> власти</w:t>
      </w:r>
      <w:r>
        <w:rPr>
          <w:sz w:val="28"/>
          <w:szCs w:val="28"/>
        </w:rPr>
        <w:t>.</w:t>
      </w:r>
    </w:p>
    <w:p w:rsidR="00AA5FD5" w:rsidRPr="00DF0B60" w:rsidRDefault="00AA5FD5" w:rsidP="00D07B7A">
      <w:pPr>
        <w:spacing w:line="312" w:lineRule="auto"/>
        <w:ind w:firstLine="709"/>
        <w:jc w:val="both"/>
        <w:rPr>
          <w:sz w:val="28"/>
          <w:szCs w:val="28"/>
        </w:rPr>
      </w:pPr>
      <w:r w:rsidRPr="002D54AD">
        <w:rPr>
          <w:sz w:val="28"/>
          <w:szCs w:val="28"/>
        </w:rPr>
        <w:t>Методологическим комитетом «НКР»</w:t>
      </w:r>
      <w:r>
        <w:rPr>
          <w:sz w:val="28"/>
          <w:szCs w:val="28"/>
        </w:rPr>
        <w:t xml:space="preserve"> утверждена Методология</w:t>
      </w:r>
      <w:r w:rsidRPr="00DF0B60">
        <w:rPr>
          <w:sz w:val="28"/>
          <w:szCs w:val="28"/>
        </w:rPr>
        <w:t xml:space="preserve"> </w:t>
      </w:r>
      <w:r>
        <w:rPr>
          <w:sz w:val="28"/>
          <w:szCs w:val="28"/>
        </w:rPr>
        <w:t xml:space="preserve">присвоения кредитных рейтингов </w:t>
      </w:r>
      <w:r w:rsidRPr="007E3F6F">
        <w:rPr>
          <w:sz w:val="28"/>
          <w:szCs w:val="28"/>
        </w:rPr>
        <w:t>по национальной</w:t>
      </w:r>
      <w:r>
        <w:rPr>
          <w:sz w:val="28"/>
          <w:szCs w:val="28"/>
        </w:rPr>
        <w:t xml:space="preserve"> шкале для Российской Федерации </w:t>
      </w:r>
      <w:r w:rsidRPr="007E3F6F">
        <w:rPr>
          <w:sz w:val="28"/>
          <w:szCs w:val="28"/>
        </w:rPr>
        <w:t>региональным и муниципальным органам власти</w:t>
      </w:r>
      <w:r w:rsidR="000C6A08" w:rsidRPr="000C6A08">
        <w:rPr>
          <w:sz w:val="28"/>
          <w:szCs w:val="28"/>
        </w:rPr>
        <w:t xml:space="preserve"> </w:t>
      </w:r>
      <w:r w:rsidR="000C6A08">
        <w:rPr>
          <w:sz w:val="28"/>
          <w:szCs w:val="28"/>
        </w:rPr>
        <w:t>(п</w:t>
      </w:r>
      <w:r w:rsidR="000C6A08" w:rsidRPr="002D54AD">
        <w:rPr>
          <w:sz w:val="28"/>
          <w:szCs w:val="28"/>
        </w:rPr>
        <w:t>ротокол № 22 от 17 сентября 2020 года</w:t>
      </w:r>
      <w:r w:rsidR="000C6A08">
        <w:rPr>
          <w:sz w:val="28"/>
          <w:szCs w:val="28"/>
        </w:rPr>
        <w:t>)</w:t>
      </w:r>
      <w:r>
        <w:rPr>
          <w:sz w:val="28"/>
          <w:szCs w:val="28"/>
        </w:rPr>
        <w:t xml:space="preserve">, которая </w:t>
      </w:r>
      <w:r w:rsidRPr="002D54AD">
        <w:rPr>
          <w:sz w:val="28"/>
          <w:szCs w:val="28"/>
        </w:rPr>
        <w:t>применяется «НКР»</w:t>
      </w:r>
      <w:r>
        <w:rPr>
          <w:sz w:val="28"/>
          <w:szCs w:val="28"/>
        </w:rPr>
        <w:t xml:space="preserve"> </w:t>
      </w:r>
      <w:r w:rsidRPr="002D54AD">
        <w:rPr>
          <w:sz w:val="28"/>
          <w:szCs w:val="28"/>
        </w:rPr>
        <w:t xml:space="preserve">для определения оценки собственной кредитоспособности </w:t>
      </w:r>
      <w:r>
        <w:rPr>
          <w:sz w:val="28"/>
          <w:szCs w:val="28"/>
        </w:rPr>
        <w:t>и присвоения кредитных рейтингов и п</w:t>
      </w:r>
      <w:r w:rsidRPr="002D54AD">
        <w:rPr>
          <w:sz w:val="28"/>
          <w:szCs w:val="28"/>
        </w:rPr>
        <w:t>рогнозов по кредитным рейтингам региональным и муниципальным органам власти Российской Федерации. Кроме того, в рамках данной Методологии определяется вероятно</w:t>
      </w:r>
      <w:r>
        <w:rPr>
          <w:sz w:val="28"/>
          <w:szCs w:val="28"/>
        </w:rPr>
        <w:t>сть э</w:t>
      </w:r>
      <w:r w:rsidRPr="002D54AD">
        <w:rPr>
          <w:sz w:val="28"/>
          <w:szCs w:val="28"/>
        </w:rPr>
        <w:t xml:space="preserve">кстраординарной поддержки </w:t>
      </w:r>
      <w:r w:rsidRPr="00EE4590">
        <w:rPr>
          <w:sz w:val="28"/>
          <w:szCs w:val="28"/>
        </w:rPr>
        <w:t>региональны</w:t>
      </w:r>
      <w:r>
        <w:rPr>
          <w:sz w:val="28"/>
          <w:szCs w:val="28"/>
        </w:rPr>
        <w:t>х</w:t>
      </w:r>
      <w:r w:rsidRPr="00EE4590">
        <w:rPr>
          <w:sz w:val="28"/>
          <w:szCs w:val="28"/>
        </w:rPr>
        <w:t xml:space="preserve"> и </w:t>
      </w:r>
      <w:r>
        <w:rPr>
          <w:sz w:val="28"/>
          <w:szCs w:val="28"/>
        </w:rPr>
        <w:t>муниципальных органов</w:t>
      </w:r>
      <w:r w:rsidRPr="00EE4590">
        <w:rPr>
          <w:sz w:val="28"/>
          <w:szCs w:val="28"/>
        </w:rPr>
        <w:t xml:space="preserve"> власти Российской Федерации</w:t>
      </w:r>
      <w:r>
        <w:rPr>
          <w:sz w:val="28"/>
          <w:szCs w:val="28"/>
        </w:rPr>
        <w:t xml:space="preserve"> вышестоящих органов власти – П</w:t>
      </w:r>
      <w:r w:rsidRPr="002D54AD">
        <w:rPr>
          <w:sz w:val="28"/>
          <w:szCs w:val="28"/>
        </w:rPr>
        <w:t>ра</w:t>
      </w:r>
      <w:r>
        <w:rPr>
          <w:sz w:val="28"/>
          <w:szCs w:val="28"/>
        </w:rPr>
        <w:t>вительства Российской Федерации</w:t>
      </w:r>
      <w:r w:rsidRPr="002D54AD">
        <w:rPr>
          <w:sz w:val="28"/>
          <w:szCs w:val="28"/>
        </w:rPr>
        <w:t xml:space="preserve"> и органов власти субъектов </w:t>
      </w:r>
      <w:r>
        <w:rPr>
          <w:sz w:val="28"/>
          <w:szCs w:val="28"/>
        </w:rPr>
        <w:t>Российской Федерации</w:t>
      </w:r>
      <w:r w:rsidRPr="002D54AD">
        <w:rPr>
          <w:sz w:val="28"/>
          <w:szCs w:val="28"/>
        </w:rPr>
        <w:t>.</w:t>
      </w:r>
    </w:p>
    <w:p w:rsidR="00AA5FD5" w:rsidRPr="009372A8" w:rsidRDefault="00AA5FD5" w:rsidP="00D07B7A">
      <w:pPr>
        <w:spacing w:line="312" w:lineRule="auto"/>
        <w:ind w:firstLine="709"/>
        <w:jc w:val="both"/>
        <w:rPr>
          <w:sz w:val="28"/>
          <w:szCs w:val="28"/>
        </w:rPr>
      </w:pPr>
      <w:r w:rsidRPr="009372A8">
        <w:rPr>
          <w:sz w:val="28"/>
          <w:szCs w:val="28"/>
        </w:rPr>
        <w:t xml:space="preserve">Целью анализа является прогнозирование кредитоспособности </w:t>
      </w:r>
      <w:proofErr w:type="spellStart"/>
      <w:r>
        <w:rPr>
          <w:sz w:val="28"/>
          <w:szCs w:val="28"/>
        </w:rPr>
        <w:t>рейтингуемых</w:t>
      </w:r>
      <w:proofErr w:type="spellEnd"/>
      <w:r>
        <w:rPr>
          <w:sz w:val="28"/>
          <w:szCs w:val="28"/>
        </w:rPr>
        <w:t xml:space="preserve"> лиц</w:t>
      </w:r>
      <w:r w:rsidRPr="009372A8">
        <w:rPr>
          <w:sz w:val="28"/>
          <w:szCs w:val="28"/>
        </w:rPr>
        <w:t xml:space="preserve"> в краткосрочном и долгосрочном периодах.</w:t>
      </w:r>
    </w:p>
    <w:p w:rsidR="00AA5FD5" w:rsidRDefault="00AA5FD5" w:rsidP="00D07B7A">
      <w:pPr>
        <w:spacing w:line="312" w:lineRule="auto"/>
        <w:ind w:firstLine="709"/>
        <w:jc w:val="both"/>
        <w:rPr>
          <w:sz w:val="28"/>
          <w:szCs w:val="28"/>
        </w:rPr>
      </w:pPr>
      <w:r w:rsidRPr="00D62F94">
        <w:rPr>
          <w:sz w:val="28"/>
          <w:szCs w:val="28"/>
        </w:rPr>
        <w:t>На первоначальном этапе рейтингового анализа определяется базовая оценка собственной кредитоспособности</w:t>
      </w:r>
      <w:r>
        <w:rPr>
          <w:sz w:val="28"/>
          <w:szCs w:val="28"/>
        </w:rPr>
        <w:t xml:space="preserve">, то есть оценка </w:t>
      </w:r>
      <w:proofErr w:type="spellStart"/>
      <w:r>
        <w:rPr>
          <w:sz w:val="28"/>
          <w:szCs w:val="28"/>
        </w:rPr>
        <w:t>рейтингуемого</w:t>
      </w:r>
      <w:proofErr w:type="spellEnd"/>
      <w:r>
        <w:rPr>
          <w:sz w:val="28"/>
          <w:szCs w:val="28"/>
        </w:rPr>
        <w:t xml:space="preserve"> лица</w:t>
      </w:r>
      <w:r w:rsidRPr="00D62F94">
        <w:rPr>
          <w:sz w:val="28"/>
          <w:szCs w:val="28"/>
        </w:rPr>
        <w:t xml:space="preserve"> на основе следующих ключевых рейтинговых факторов:</w:t>
      </w:r>
    </w:p>
    <w:p w:rsidR="00AA5FD5" w:rsidRDefault="00AA5FD5" w:rsidP="00D07B7A">
      <w:pPr>
        <w:spacing w:line="312" w:lineRule="auto"/>
        <w:ind w:firstLine="709"/>
        <w:jc w:val="both"/>
        <w:rPr>
          <w:sz w:val="28"/>
          <w:szCs w:val="28"/>
        </w:rPr>
      </w:pPr>
      <w:r w:rsidRPr="00D62F94">
        <w:rPr>
          <w:sz w:val="28"/>
          <w:szCs w:val="28"/>
        </w:rPr>
        <w:t xml:space="preserve"> − гибкость бюджета;</w:t>
      </w:r>
    </w:p>
    <w:p w:rsidR="00AA5FD5" w:rsidRDefault="00AA5FD5" w:rsidP="00D07B7A">
      <w:pPr>
        <w:spacing w:line="312" w:lineRule="auto"/>
        <w:ind w:firstLine="709"/>
        <w:jc w:val="both"/>
        <w:rPr>
          <w:sz w:val="28"/>
          <w:szCs w:val="28"/>
        </w:rPr>
      </w:pPr>
      <w:r w:rsidRPr="00D62F94">
        <w:rPr>
          <w:sz w:val="28"/>
          <w:szCs w:val="28"/>
        </w:rPr>
        <w:t xml:space="preserve"> − долговая нагрузка;</w:t>
      </w:r>
    </w:p>
    <w:p w:rsidR="00AA5FD5" w:rsidRDefault="00AA5FD5" w:rsidP="00D07B7A">
      <w:pPr>
        <w:spacing w:line="312" w:lineRule="auto"/>
        <w:ind w:firstLine="709"/>
        <w:jc w:val="both"/>
        <w:rPr>
          <w:sz w:val="28"/>
          <w:szCs w:val="28"/>
        </w:rPr>
      </w:pPr>
      <w:r w:rsidRPr="00D62F94">
        <w:rPr>
          <w:sz w:val="28"/>
          <w:szCs w:val="28"/>
        </w:rPr>
        <w:t xml:space="preserve"> − региональная экономика;</w:t>
      </w:r>
    </w:p>
    <w:p w:rsidR="00AA5FD5" w:rsidRDefault="00AA5FD5" w:rsidP="00D07B7A">
      <w:pPr>
        <w:spacing w:line="312" w:lineRule="auto"/>
        <w:ind w:firstLine="709"/>
        <w:jc w:val="both"/>
        <w:rPr>
          <w:sz w:val="28"/>
          <w:szCs w:val="28"/>
        </w:rPr>
      </w:pPr>
      <w:r w:rsidRPr="00D62F94">
        <w:rPr>
          <w:sz w:val="28"/>
          <w:szCs w:val="28"/>
        </w:rPr>
        <w:t xml:space="preserve"> − история управления долгом и ликвидностью. </w:t>
      </w:r>
    </w:p>
    <w:p w:rsidR="00AA5FD5" w:rsidRDefault="00AA5FD5" w:rsidP="00D07B7A">
      <w:pPr>
        <w:spacing w:line="312" w:lineRule="auto"/>
        <w:ind w:firstLine="709"/>
        <w:jc w:val="both"/>
        <w:rPr>
          <w:sz w:val="28"/>
          <w:szCs w:val="28"/>
        </w:rPr>
      </w:pPr>
      <w:r w:rsidRPr="00491149">
        <w:rPr>
          <w:sz w:val="28"/>
          <w:szCs w:val="28"/>
        </w:rPr>
        <w:t xml:space="preserve">Для оценки </w:t>
      </w:r>
      <w:r>
        <w:rPr>
          <w:sz w:val="28"/>
          <w:szCs w:val="28"/>
        </w:rPr>
        <w:t>показателей рейтинговых факторов</w:t>
      </w:r>
      <w:r w:rsidRPr="00491149">
        <w:rPr>
          <w:sz w:val="28"/>
          <w:szCs w:val="28"/>
        </w:rPr>
        <w:t xml:space="preserve"> используется непрерывная </w:t>
      </w:r>
      <w:r>
        <w:rPr>
          <w:sz w:val="28"/>
          <w:szCs w:val="28"/>
        </w:rPr>
        <w:t>шкала с линейной зависимостью.</w:t>
      </w:r>
    </w:p>
    <w:p w:rsidR="00AA5FD5" w:rsidRDefault="00AA5FD5" w:rsidP="00D07B7A">
      <w:pPr>
        <w:spacing w:line="312" w:lineRule="auto"/>
        <w:ind w:firstLine="709"/>
        <w:jc w:val="both"/>
        <w:rPr>
          <w:sz w:val="28"/>
          <w:szCs w:val="28"/>
        </w:rPr>
      </w:pPr>
      <w:r w:rsidRPr="00D62F94">
        <w:rPr>
          <w:sz w:val="28"/>
          <w:szCs w:val="28"/>
        </w:rPr>
        <w:t xml:space="preserve">Веса трёх из этих факторов («Гибкость бюджета», «Долговая нагрузка», «Региональная экономика») изменяются в зависимости от оценки, присвоенной фактору «Долговая нагрузка». </w:t>
      </w:r>
      <w:proofErr w:type="gramStart"/>
      <w:r w:rsidRPr="00D62F94">
        <w:rPr>
          <w:sz w:val="28"/>
          <w:szCs w:val="28"/>
        </w:rPr>
        <w:t>При максимальной оценке фактора «Долговая нагрузка» (7 баллов) его вес равен 15</w:t>
      </w:r>
      <w:r w:rsidR="000A292B">
        <w:rPr>
          <w:sz w:val="28"/>
          <w:szCs w:val="28"/>
        </w:rPr>
        <w:t> </w:t>
      </w:r>
      <w:r w:rsidRPr="00D62F94">
        <w:rPr>
          <w:sz w:val="28"/>
          <w:szCs w:val="28"/>
        </w:rPr>
        <w:t>%, при минимальной (1 балл) — 70</w:t>
      </w:r>
      <w:r w:rsidR="000A292B">
        <w:rPr>
          <w:sz w:val="28"/>
          <w:szCs w:val="28"/>
        </w:rPr>
        <w:t> </w:t>
      </w:r>
      <w:r w:rsidRPr="00D62F94">
        <w:rPr>
          <w:sz w:val="28"/>
          <w:szCs w:val="28"/>
        </w:rPr>
        <w:t xml:space="preserve">%. </w:t>
      </w:r>
      <w:proofErr w:type="gramEnd"/>
    </w:p>
    <w:p w:rsidR="00AA5FD5" w:rsidRPr="00D62F94" w:rsidRDefault="00AA5FD5" w:rsidP="00D07B7A">
      <w:pPr>
        <w:spacing w:line="312" w:lineRule="auto"/>
        <w:ind w:firstLine="709"/>
        <w:jc w:val="both"/>
        <w:rPr>
          <w:sz w:val="28"/>
          <w:szCs w:val="28"/>
        </w:rPr>
      </w:pPr>
      <w:r w:rsidRPr="00D62F94">
        <w:rPr>
          <w:sz w:val="28"/>
          <w:szCs w:val="28"/>
        </w:rPr>
        <w:t>С 7 до 4 баллов вес растёт линейным образом с 15</w:t>
      </w:r>
      <w:r w:rsidR="000A292B">
        <w:rPr>
          <w:sz w:val="28"/>
          <w:szCs w:val="28"/>
        </w:rPr>
        <w:t> </w:t>
      </w:r>
      <w:r w:rsidRPr="00D62F94">
        <w:rPr>
          <w:sz w:val="28"/>
          <w:szCs w:val="28"/>
        </w:rPr>
        <w:t>% до 34</w:t>
      </w:r>
      <w:r w:rsidR="000A292B">
        <w:rPr>
          <w:sz w:val="28"/>
          <w:szCs w:val="28"/>
        </w:rPr>
        <w:t> </w:t>
      </w:r>
      <w:r w:rsidRPr="00D62F94">
        <w:rPr>
          <w:sz w:val="28"/>
          <w:szCs w:val="28"/>
        </w:rPr>
        <w:t xml:space="preserve">%. По достижении уровня 4 балла вес фактора продолжает расти линейно, но с более высокой скоростью. Изменение весов факторов в зависимости от оценки долговой нагрузки отражает нелинейный характер ухудшения кредитоспособности при наращивании финансовых обязательств и приводит к более быстрому снижению </w:t>
      </w:r>
      <w:r>
        <w:rPr>
          <w:sz w:val="28"/>
          <w:szCs w:val="28"/>
        </w:rPr>
        <w:t>базовой оценки</w:t>
      </w:r>
      <w:r w:rsidRPr="00E04CB5">
        <w:rPr>
          <w:sz w:val="28"/>
          <w:szCs w:val="28"/>
        </w:rPr>
        <w:t xml:space="preserve"> собственной кредитоспособности</w:t>
      </w:r>
      <w:r w:rsidRPr="00D62F94">
        <w:rPr>
          <w:sz w:val="28"/>
          <w:szCs w:val="28"/>
        </w:rPr>
        <w:t xml:space="preserve"> в случае чрезмерной долговой нагрузки </w:t>
      </w:r>
      <w:proofErr w:type="spellStart"/>
      <w:r>
        <w:rPr>
          <w:sz w:val="28"/>
          <w:szCs w:val="28"/>
        </w:rPr>
        <w:t>рейтингуемого</w:t>
      </w:r>
      <w:proofErr w:type="spellEnd"/>
      <w:r>
        <w:rPr>
          <w:sz w:val="28"/>
          <w:szCs w:val="28"/>
        </w:rPr>
        <w:t xml:space="preserve"> лица</w:t>
      </w:r>
      <w:r w:rsidRPr="00D62F94">
        <w:rPr>
          <w:sz w:val="28"/>
          <w:szCs w:val="28"/>
        </w:rPr>
        <w:t>.</w:t>
      </w:r>
    </w:p>
    <w:p w:rsidR="00AA5FD5" w:rsidRDefault="00AA5FD5" w:rsidP="00D07B7A">
      <w:pPr>
        <w:spacing w:line="312" w:lineRule="auto"/>
        <w:ind w:firstLine="709"/>
        <w:jc w:val="both"/>
        <w:rPr>
          <w:sz w:val="28"/>
          <w:szCs w:val="28"/>
        </w:rPr>
      </w:pPr>
      <w:r w:rsidRPr="000846F4">
        <w:rPr>
          <w:sz w:val="28"/>
          <w:szCs w:val="28"/>
        </w:rPr>
        <w:t xml:space="preserve">Вторым этапом рейтингового анализа является определение уровня </w:t>
      </w:r>
      <w:r w:rsidRPr="003E729D">
        <w:rPr>
          <w:sz w:val="28"/>
          <w:szCs w:val="28"/>
        </w:rPr>
        <w:t>оценки собственной кредитоспособности</w:t>
      </w:r>
      <w:r w:rsidRPr="000846F4">
        <w:rPr>
          <w:sz w:val="28"/>
          <w:szCs w:val="28"/>
        </w:rPr>
        <w:t xml:space="preserve"> путём применения к </w:t>
      </w:r>
      <w:r w:rsidRPr="003E729D">
        <w:rPr>
          <w:sz w:val="28"/>
          <w:szCs w:val="28"/>
        </w:rPr>
        <w:t>базовой</w:t>
      </w:r>
      <w:r>
        <w:rPr>
          <w:sz w:val="28"/>
          <w:szCs w:val="28"/>
        </w:rPr>
        <w:t xml:space="preserve"> оценке</w:t>
      </w:r>
      <w:r w:rsidRPr="003E729D">
        <w:rPr>
          <w:sz w:val="28"/>
          <w:szCs w:val="28"/>
        </w:rPr>
        <w:t xml:space="preserve"> собственной кредитоспособности</w:t>
      </w:r>
      <w:r w:rsidRPr="000846F4">
        <w:rPr>
          <w:sz w:val="28"/>
          <w:szCs w:val="28"/>
        </w:rPr>
        <w:t xml:space="preserve"> следующих ключевых модификаторов:</w:t>
      </w:r>
    </w:p>
    <w:p w:rsidR="00AA5FD5" w:rsidRDefault="00AA5FD5" w:rsidP="00D07B7A">
      <w:pPr>
        <w:spacing w:line="312" w:lineRule="auto"/>
        <w:ind w:firstLine="709"/>
        <w:jc w:val="both"/>
        <w:rPr>
          <w:sz w:val="28"/>
          <w:szCs w:val="28"/>
        </w:rPr>
      </w:pPr>
      <w:r w:rsidRPr="000846F4">
        <w:rPr>
          <w:sz w:val="28"/>
          <w:szCs w:val="28"/>
        </w:rPr>
        <w:t xml:space="preserve"> − стресс-тестирование;</w:t>
      </w:r>
    </w:p>
    <w:p w:rsidR="00AA5FD5" w:rsidRDefault="00AA5FD5" w:rsidP="00D07B7A">
      <w:pPr>
        <w:spacing w:line="312" w:lineRule="auto"/>
        <w:ind w:firstLine="709"/>
        <w:jc w:val="both"/>
        <w:rPr>
          <w:sz w:val="28"/>
          <w:szCs w:val="28"/>
        </w:rPr>
      </w:pPr>
      <w:r w:rsidRPr="000846F4">
        <w:rPr>
          <w:sz w:val="28"/>
          <w:szCs w:val="28"/>
        </w:rPr>
        <w:t xml:space="preserve"> − сравнительный анализ сопоставимых </w:t>
      </w:r>
      <w:r>
        <w:rPr>
          <w:sz w:val="28"/>
          <w:szCs w:val="28"/>
        </w:rPr>
        <w:t>региональных и муниципальных органов</w:t>
      </w:r>
      <w:r w:rsidRPr="00073CA0">
        <w:rPr>
          <w:sz w:val="28"/>
          <w:szCs w:val="28"/>
        </w:rPr>
        <w:t xml:space="preserve"> власти Российской Федерации</w:t>
      </w:r>
      <w:r w:rsidRPr="000846F4">
        <w:rPr>
          <w:sz w:val="28"/>
          <w:szCs w:val="28"/>
        </w:rPr>
        <w:t xml:space="preserve">. </w:t>
      </w:r>
    </w:p>
    <w:p w:rsidR="00AA5FD5" w:rsidRDefault="00AA5FD5" w:rsidP="00D07B7A">
      <w:pPr>
        <w:spacing w:line="312" w:lineRule="auto"/>
        <w:ind w:firstLine="709"/>
        <w:jc w:val="both"/>
        <w:rPr>
          <w:sz w:val="28"/>
          <w:szCs w:val="28"/>
        </w:rPr>
      </w:pPr>
      <w:r w:rsidRPr="000846F4">
        <w:rPr>
          <w:sz w:val="28"/>
          <w:szCs w:val="28"/>
        </w:rPr>
        <w:t>В зависимости от типа модификатора и его</w:t>
      </w:r>
      <w:r>
        <w:rPr>
          <w:sz w:val="28"/>
          <w:szCs w:val="28"/>
        </w:rPr>
        <w:t xml:space="preserve"> влияния на кредитное качество </w:t>
      </w:r>
      <w:proofErr w:type="spellStart"/>
      <w:r>
        <w:rPr>
          <w:sz w:val="28"/>
          <w:szCs w:val="28"/>
        </w:rPr>
        <w:t>р</w:t>
      </w:r>
      <w:r w:rsidRPr="000846F4">
        <w:rPr>
          <w:sz w:val="28"/>
          <w:szCs w:val="28"/>
        </w:rPr>
        <w:t>ейтингуемого</w:t>
      </w:r>
      <w:proofErr w:type="spellEnd"/>
      <w:r w:rsidRPr="000846F4">
        <w:rPr>
          <w:sz w:val="28"/>
          <w:szCs w:val="28"/>
        </w:rPr>
        <w:t xml:space="preserve"> лица </w:t>
      </w:r>
      <w:r>
        <w:rPr>
          <w:sz w:val="28"/>
          <w:szCs w:val="28"/>
        </w:rPr>
        <w:t>базовая оценка</w:t>
      </w:r>
      <w:r w:rsidRPr="00073CA0">
        <w:rPr>
          <w:sz w:val="28"/>
          <w:szCs w:val="28"/>
        </w:rPr>
        <w:t xml:space="preserve"> собственной кредитоспособности</w:t>
      </w:r>
      <w:r w:rsidRPr="000846F4">
        <w:rPr>
          <w:sz w:val="28"/>
          <w:szCs w:val="28"/>
        </w:rPr>
        <w:t xml:space="preserve"> повышается, снижается или не изменяется. </w:t>
      </w:r>
    </w:p>
    <w:p w:rsidR="00AA5FD5" w:rsidRPr="000846F4" w:rsidRDefault="00AA5FD5" w:rsidP="00D07B7A">
      <w:pPr>
        <w:spacing w:line="312" w:lineRule="auto"/>
        <w:ind w:firstLine="709"/>
        <w:jc w:val="both"/>
        <w:rPr>
          <w:sz w:val="28"/>
          <w:szCs w:val="28"/>
        </w:rPr>
      </w:pPr>
      <w:r w:rsidRPr="000846F4">
        <w:rPr>
          <w:sz w:val="28"/>
          <w:szCs w:val="28"/>
        </w:rPr>
        <w:t xml:space="preserve">Таким образом, </w:t>
      </w:r>
      <w:r>
        <w:rPr>
          <w:sz w:val="28"/>
          <w:szCs w:val="28"/>
        </w:rPr>
        <w:t>оценка</w:t>
      </w:r>
      <w:r w:rsidRPr="0074782F">
        <w:rPr>
          <w:sz w:val="28"/>
          <w:szCs w:val="28"/>
        </w:rPr>
        <w:t xml:space="preserve"> собственной кредитоспособности</w:t>
      </w:r>
      <w:r w:rsidRPr="000846F4">
        <w:rPr>
          <w:sz w:val="28"/>
          <w:szCs w:val="28"/>
        </w:rPr>
        <w:t xml:space="preserve"> определяется как сумма </w:t>
      </w:r>
      <w:r w:rsidRPr="0074782F">
        <w:rPr>
          <w:sz w:val="28"/>
          <w:szCs w:val="28"/>
        </w:rPr>
        <w:t>базовой</w:t>
      </w:r>
      <w:r>
        <w:rPr>
          <w:sz w:val="28"/>
          <w:szCs w:val="28"/>
        </w:rPr>
        <w:t xml:space="preserve"> оценки</w:t>
      </w:r>
      <w:r w:rsidRPr="0074782F">
        <w:rPr>
          <w:sz w:val="28"/>
          <w:szCs w:val="28"/>
        </w:rPr>
        <w:t xml:space="preserve"> собственной кредитоспособности</w:t>
      </w:r>
      <w:r w:rsidRPr="000846F4">
        <w:rPr>
          <w:sz w:val="28"/>
          <w:szCs w:val="28"/>
        </w:rPr>
        <w:t xml:space="preserve"> и результата применения всех положительных/отрицательных модификаторов</w:t>
      </w:r>
      <w:r>
        <w:rPr>
          <w:sz w:val="28"/>
          <w:szCs w:val="28"/>
        </w:rPr>
        <w:t>.</w:t>
      </w:r>
    </w:p>
    <w:p w:rsidR="00AA5FD5" w:rsidRPr="00AE215D" w:rsidRDefault="00AA5FD5" w:rsidP="00D07B7A">
      <w:pPr>
        <w:spacing w:line="312" w:lineRule="auto"/>
        <w:ind w:firstLine="709"/>
        <w:jc w:val="both"/>
        <w:rPr>
          <w:sz w:val="28"/>
          <w:szCs w:val="28"/>
        </w:rPr>
      </w:pPr>
      <w:r w:rsidRPr="00AE215D">
        <w:rPr>
          <w:sz w:val="28"/>
          <w:szCs w:val="28"/>
        </w:rPr>
        <w:t xml:space="preserve">Финальным этапом присвоения </w:t>
      </w:r>
      <w:r>
        <w:rPr>
          <w:sz w:val="28"/>
          <w:szCs w:val="28"/>
        </w:rPr>
        <w:t>к</w:t>
      </w:r>
      <w:r w:rsidRPr="00AE215D">
        <w:rPr>
          <w:sz w:val="28"/>
          <w:szCs w:val="28"/>
        </w:rPr>
        <w:t xml:space="preserve">редитного рейтинга является применение к </w:t>
      </w:r>
      <w:r>
        <w:rPr>
          <w:sz w:val="28"/>
          <w:szCs w:val="28"/>
        </w:rPr>
        <w:t>оценке</w:t>
      </w:r>
      <w:r w:rsidRPr="00AE215D">
        <w:rPr>
          <w:sz w:val="28"/>
          <w:szCs w:val="28"/>
        </w:rPr>
        <w:t xml:space="preserve"> собственной кредитоспособности факто</w:t>
      </w:r>
      <w:r>
        <w:rPr>
          <w:sz w:val="28"/>
          <w:szCs w:val="28"/>
        </w:rPr>
        <w:t>ра э</w:t>
      </w:r>
      <w:r w:rsidRPr="00AE215D">
        <w:rPr>
          <w:sz w:val="28"/>
          <w:szCs w:val="28"/>
        </w:rPr>
        <w:t>кстраординарной поддержки со стороны поддерживающего органа власти</w:t>
      </w:r>
      <w:r>
        <w:rPr>
          <w:sz w:val="28"/>
          <w:szCs w:val="28"/>
        </w:rPr>
        <w:t>. После присвоения к</w:t>
      </w:r>
      <w:r w:rsidRPr="00AE215D">
        <w:rPr>
          <w:sz w:val="28"/>
          <w:szCs w:val="28"/>
        </w:rPr>
        <w:t>редитного рейтинга «НКР»</w:t>
      </w:r>
      <w:r>
        <w:rPr>
          <w:sz w:val="28"/>
          <w:szCs w:val="28"/>
        </w:rPr>
        <w:t xml:space="preserve"> определяет п</w:t>
      </w:r>
      <w:r w:rsidRPr="00AE215D">
        <w:rPr>
          <w:sz w:val="28"/>
          <w:szCs w:val="28"/>
        </w:rPr>
        <w:t xml:space="preserve">рогноз по кредитному рейтингу. </w:t>
      </w:r>
    </w:p>
    <w:p w:rsidR="00AA5FD5" w:rsidRPr="000C6A08" w:rsidRDefault="00AA5FD5" w:rsidP="00D07B7A">
      <w:pPr>
        <w:spacing w:line="312" w:lineRule="auto"/>
        <w:ind w:firstLine="709"/>
        <w:jc w:val="both"/>
        <w:rPr>
          <w:sz w:val="28"/>
          <w:szCs w:val="28"/>
        </w:rPr>
      </w:pPr>
      <w:r w:rsidRPr="000C6A08">
        <w:rPr>
          <w:sz w:val="28"/>
          <w:szCs w:val="28"/>
        </w:rPr>
        <w:t>2.</w:t>
      </w:r>
      <w:r w:rsidR="000C6A08" w:rsidRPr="000C6A08">
        <w:rPr>
          <w:sz w:val="28"/>
          <w:szCs w:val="28"/>
        </w:rPr>
        <w:t>4</w:t>
      </w:r>
      <w:r w:rsidRPr="000C6A08">
        <w:rPr>
          <w:sz w:val="28"/>
          <w:szCs w:val="28"/>
        </w:rPr>
        <w:t>.1. Гибкость бюджета.</w:t>
      </w:r>
    </w:p>
    <w:p w:rsidR="00AA5FD5" w:rsidRPr="000C6A08" w:rsidRDefault="00AA5FD5" w:rsidP="00D07B7A">
      <w:pPr>
        <w:spacing w:line="312" w:lineRule="auto"/>
        <w:ind w:firstLine="709"/>
        <w:jc w:val="both"/>
        <w:rPr>
          <w:sz w:val="28"/>
          <w:szCs w:val="28"/>
        </w:rPr>
      </w:pPr>
      <w:r w:rsidRPr="000C6A08">
        <w:rPr>
          <w:sz w:val="28"/>
          <w:szCs w:val="28"/>
        </w:rPr>
        <w:t xml:space="preserve">Фактор «Гибкость бюджета» оценивает способность </w:t>
      </w:r>
      <w:proofErr w:type="spellStart"/>
      <w:r w:rsidRPr="000C6A08">
        <w:rPr>
          <w:sz w:val="28"/>
          <w:szCs w:val="28"/>
        </w:rPr>
        <w:t>рейтингуемого</w:t>
      </w:r>
      <w:proofErr w:type="spellEnd"/>
      <w:r w:rsidRPr="000C6A08">
        <w:rPr>
          <w:sz w:val="28"/>
          <w:szCs w:val="28"/>
        </w:rPr>
        <w:t xml:space="preserve"> лица контролировать рост расходов бюджета в соответствии с темпами роста доходной базы и не допускать формирования избыточного дефицита бюджета. </w:t>
      </w:r>
    </w:p>
    <w:p w:rsidR="00AA5FD5" w:rsidRPr="000C6A08" w:rsidRDefault="00AA5FD5" w:rsidP="00D07B7A">
      <w:pPr>
        <w:spacing w:line="312" w:lineRule="auto"/>
        <w:ind w:firstLine="709"/>
        <w:jc w:val="both"/>
        <w:rPr>
          <w:sz w:val="28"/>
          <w:szCs w:val="28"/>
        </w:rPr>
      </w:pPr>
      <w:r w:rsidRPr="000C6A08">
        <w:rPr>
          <w:sz w:val="28"/>
          <w:szCs w:val="28"/>
        </w:rPr>
        <w:t>Оценка гибкости бюджета складывается из взвешенных оценок трёх показателей: «Доля неснижаемых расходов» (вес 30%), «Соотношение дотаций и неснижаемых расходов» (вес 40%), «Соотношение доступного ресурса и налоговых и неналоговых доходов» (вес 30%).</w:t>
      </w:r>
    </w:p>
    <w:p w:rsidR="00AA5FD5" w:rsidRDefault="00AA5FD5" w:rsidP="00D07B7A">
      <w:pPr>
        <w:spacing w:line="312" w:lineRule="auto"/>
        <w:ind w:firstLine="709"/>
        <w:jc w:val="both"/>
        <w:rPr>
          <w:sz w:val="28"/>
          <w:szCs w:val="28"/>
        </w:rPr>
      </w:pPr>
      <w:r w:rsidRPr="000C6A08">
        <w:rPr>
          <w:sz w:val="28"/>
          <w:szCs w:val="28"/>
        </w:rPr>
        <w:t>Показатель «Доля неснижаемых расходов»</w:t>
      </w:r>
      <w:r>
        <w:rPr>
          <w:sz w:val="28"/>
          <w:szCs w:val="28"/>
        </w:rPr>
        <w:t xml:space="preserve"> </w:t>
      </w:r>
      <w:r w:rsidRPr="00B26401">
        <w:rPr>
          <w:sz w:val="28"/>
          <w:szCs w:val="28"/>
        </w:rPr>
        <w:t xml:space="preserve">характеризует гибкость бюджета с точки зрения объёма расходов, которые </w:t>
      </w:r>
      <w:proofErr w:type="spellStart"/>
      <w:r>
        <w:rPr>
          <w:sz w:val="28"/>
          <w:szCs w:val="28"/>
        </w:rPr>
        <w:t>рейтингуемое</w:t>
      </w:r>
      <w:proofErr w:type="spellEnd"/>
      <w:r>
        <w:rPr>
          <w:sz w:val="28"/>
          <w:szCs w:val="28"/>
        </w:rPr>
        <w:t xml:space="preserve"> лицо</w:t>
      </w:r>
      <w:r w:rsidRPr="00B26401">
        <w:rPr>
          <w:sz w:val="28"/>
          <w:szCs w:val="28"/>
        </w:rPr>
        <w:t xml:space="preserve"> может сократить в случае ухудшения состояния региональной экономики и снижения налоговых и неналоговых доходов бюджета. Высокая доля неснижаемых расходов свидетельствует о недостаточной гибкости бюджета </w:t>
      </w:r>
      <w:proofErr w:type="spellStart"/>
      <w:r>
        <w:rPr>
          <w:sz w:val="28"/>
          <w:szCs w:val="28"/>
        </w:rPr>
        <w:t>рейтингуемого</w:t>
      </w:r>
      <w:proofErr w:type="spellEnd"/>
      <w:r>
        <w:rPr>
          <w:sz w:val="28"/>
          <w:szCs w:val="28"/>
        </w:rPr>
        <w:t xml:space="preserve"> лица</w:t>
      </w:r>
      <w:r w:rsidRPr="00B26401">
        <w:rPr>
          <w:sz w:val="28"/>
          <w:szCs w:val="28"/>
        </w:rPr>
        <w:t xml:space="preserve"> и может привести к увеличению долговой нагрузки в случае снижения налоговых и неналоговых доходов или трансфертов от бюджетов вышестоящего уровня</w:t>
      </w:r>
      <w:r>
        <w:rPr>
          <w:sz w:val="28"/>
          <w:szCs w:val="28"/>
        </w:rPr>
        <w:t>.</w:t>
      </w:r>
    </w:p>
    <w:p w:rsidR="00AA5FD5" w:rsidRDefault="00AA5FD5" w:rsidP="00D07B7A">
      <w:pPr>
        <w:spacing w:line="312" w:lineRule="auto"/>
        <w:ind w:firstLine="709"/>
        <w:jc w:val="both"/>
        <w:rPr>
          <w:sz w:val="28"/>
          <w:szCs w:val="28"/>
        </w:rPr>
      </w:pPr>
      <w:r w:rsidRPr="00485D0F">
        <w:rPr>
          <w:sz w:val="28"/>
          <w:szCs w:val="28"/>
        </w:rPr>
        <w:t xml:space="preserve">Показатель </w:t>
      </w:r>
      <w:r w:rsidRPr="000C6A08">
        <w:rPr>
          <w:sz w:val="28"/>
          <w:szCs w:val="28"/>
        </w:rPr>
        <w:t>«Соотношение дотаций и неснижаемых расходов»</w:t>
      </w:r>
      <w:r w:rsidRPr="00792FFE">
        <w:rPr>
          <w:sz w:val="28"/>
          <w:szCs w:val="28"/>
        </w:rPr>
        <w:t xml:space="preserve"> позволяет оценить, в какой мере неснижаемые расходы покрываются за счёт внешней финансовой помощи, предоставляемой </w:t>
      </w:r>
      <w:proofErr w:type="spellStart"/>
      <w:r>
        <w:rPr>
          <w:sz w:val="28"/>
          <w:szCs w:val="28"/>
        </w:rPr>
        <w:t>рейтингуемому</w:t>
      </w:r>
      <w:proofErr w:type="spellEnd"/>
      <w:r>
        <w:rPr>
          <w:sz w:val="28"/>
          <w:szCs w:val="28"/>
        </w:rPr>
        <w:t xml:space="preserve"> лицу</w:t>
      </w:r>
      <w:r w:rsidRPr="00792FFE">
        <w:rPr>
          <w:sz w:val="28"/>
          <w:szCs w:val="28"/>
        </w:rPr>
        <w:t xml:space="preserve"> вышестоящим органом власти без требований обеспечить </w:t>
      </w:r>
      <w:proofErr w:type="spellStart"/>
      <w:r w:rsidRPr="00792FFE">
        <w:rPr>
          <w:sz w:val="28"/>
          <w:szCs w:val="28"/>
        </w:rPr>
        <w:t>софинансирование</w:t>
      </w:r>
      <w:proofErr w:type="spellEnd"/>
      <w:r w:rsidRPr="00792FFE">
        <w:rPr>
          <w:sz w:val="28"/>
          <w:szCs w:val="28"/>
        </w:rPr>
        <w:t xml:space="preserve">. Высокий уровень показателя свидетельствует о существенной зависимости бюджета </w:t>
      </w:r>
      <w:proofErr w:type="spellStart"/>
      <w:r>
        <w:rPr>
          <w:sz w:val="28"/>
          <w:szCs w:val="28"/>
        </w:rPr>
        <w:t>рейтингуемого</w:t>
      </w:r>
      <w:proofErr w:type="spellEnd"/>
      <w:r>
        <w:rPr>
          <w:sz w:val="28"/>
          <w:szCs w:val="28"/>
        </w:rPr>
        <w:t xml:space="preserve"> лица</w:t>
      </w:r>
      <w:r w:rsidRPr="00792FFE">
        <w:rPr>
          <w:sz w:val="28"/>
          <w:szCs w:val="28"/>
        </w:rPr>
        <w:t xml:space="preserve"> от вышестоящего бюджета. В условиях низких налоговых и неналоговых доходов высокий уровень дотаций относительно неснижаемых расходов свидетельствует об уязвимости бюджета по отношению к сокращению объёмов помощи от вышестоящего органа власти, что способно привести к наращиванию долговой нагрузки</w:t>
      </w:r>
      <w:r>
        <w:rPr>
          <w:sz w:val="28"/>
          <w:szCs w:val="28"/>
        </w:rPr>
        <w:t>.</w:t>
      </w:r>
    </w:p>
    <w:p w:rsidR="00AA5FD5" w:rsidRDefault="00AA5FD5" w:rsidP="00D07B7A">
      <w:pPr>
        <w:spacing w:line="312" w:lineRule="auto"/>
        <w:ind w:firstLine="709"/>
        <w:jc w:val="both"/>
        <w:rPr>
          <w:sz w:val="28"/>
          <w:szCs w:val="28"/>
        </w:rPr>
      </w:pPr>
      <w:r w:rsidRPr="00B573D9">
        <w:rPr>
          <w:sz w:val="28"/>
          <w:szCs w:val="28"/>
        </w:rPr>
        <w:t xml:space="preserve">Показатель </w:t>
      </w:r>
      <w:r w:rsidRPr="000C6A08">
        <w:rPr>
          <w:sz w:val="28"/>
          <w:szCs w:val="28"/>
        </w:rPr>
        <w:t>«Соотношение доступного ресурса и налоговых и неналоговых доходов»</w:t>
      </w:r>
      <w:r w:rsidRPr="00B573D9">
        <w:rPr>
          <w:sz w:val="28"/>
          <w:szCs w:val="28"/>
        </w:rPr>
        <w:t xml:space="preserve"> характеризует, в какой мере собственные доходы бюджета могут быть направлены на финансирование расходов, отличных от неснижаемых (включая расходы на погашение и обслуживание долга). Высокий уровень данного показателя, как правило, свидетельствует о высоком запасе прочности бюджета </w:t>
      </w:r>
      <w:proofErr w:type="spellStart"/>
      <w:r>
        <w:rPr>
          <w:sz w:val="28"/>
          <w:szCs w:val="28"/>
        </w:rPr>
        <w:t>рейтингуемого</w:t>
      </w:r>
      <w:proofErr w:type="spellEnd"/>
      <w:r>
        <w:rPr>
          <w:sz w:val="28"/>
          <w:szCs w:val="28"/>
        </w:rPr>
        <w:t xml:space="preserve"> лица</w:t>
      </w:r>
      <w:r w:rsidRPr="00B573D9">
        <w:rPr>
          <w:sz w:val="28"/>
          <w:szCs w:val="28"/>
        </w:rPr>
        <w:t xml:space="preserve"> к сокращению налоговых и неналоговых доходов.</w:t>
      </w:r>
    </w:p>
    <w:p w:rsidR="00AA5FD5" w:rsidRPr="000C6A08" w:rsidRDefault="00AA5FD5" w:rsidP="00D07B7A">
      <w:pPr>
        <w:spacing w:line="312" w:lineRule="auto"/>
        <w:ind w:firstLine="709"/>
        <w:jc w:val="both"/>
        <w:rPr>
          <w:sz w:val="28"/>
          <w:szCs w:val="28"/>
        </w:rPr>
      </w:pPr>
      <w:r w:rsidRPr="000C6A08">
        <w:rPr>
          <w:sz w:val="28"/>
          <w:szCs w:val="28"/>
        </w:rPr>
        <w:t>2.</w:t>
      </w:r>
      <w:r w:rsidR="000C6A08" w:rsidRPr="000C6A08">
        <w:rPr>
          <w:sz w:val="28"/>
          <w:szCs w:val="28"/>
        </w:rPr>
        <w:t>4</w:t>
      </w:r>
      <w:r w:rsidRPr="000C6A08">
        <w:rPr>
          <w:sz w:val="28"/>
          <w:szCs w:val="28"/>
        </w:rPr>
        <w:t>.2. Долговая нагрузка.</w:t>
      </w:r>
    </w:p>
    <w:p w:rsidR="00AA5FD5" w:rsidRPr="000C6A08" w:rsidRDefault="00AA5FD5" w:rsidP="00D07B7A">
      <w:pPr>
        <w:spacing w:line="312" w:lineRule="auto"/>
        <w:ind w:firstLine="709"/>
        <w:jc w:val="both"/>
        <w:rPr>
          <w:sz w:val="28"/>
          <w:szCs w:val="28"/>
        </w:rPr>
      </w:pPr>
      <w:r w:rsidRPr="000C6A08">
        <w:rPr>
          <w:sz w:val="28"/>
          <w:szCs w:val="28"/>
        </w:rPr>
        <w:t xml:space="preserve">В рамках данного фактора «НКР» оценивает уровень, структуру и стоимость обслуживания долговой нагрузки </w:t>
      </w:r>
      <w:proofErr w:type="spellStart"/>
      <w:r w:rsidRPr="000C6A08">
        <w:rPr>
          <w:sz w:val="28"/>
          <w:szCs w:val="28"/>
        </w:rPr>
        <w:t>рейтингуемого</w:t>
      </w:r>
      <w:proofErr w:type="spellEnd"/>
      <w:r w:rsidRPr="000C6A08">
        <w:rPr>
          <w:sz w:val="28"/>
          <w:szCs w:val="28"/>
        </w:rPr>
        <w:t xml:space="preserve"> лица относительно доступного ресурса и налоговых и неналоговых доходов.</w:t>
      </w:r>
    </w:p>
    <w:p w:rsidR="00AA5FD5" w:rsidRPr="000C6A08" w:rsidRDefault="00AA5FD5" w:rsidP="00D07B7A">
      <w:pPr>
        <w:spacing w:line="312" w:lineRule="auto"/>
        <w:ind w:firstLine="709"/>
        <w:jc w:val="both"/>
        <w:rPr>
          <w:sz w:val="28"/>
          <w:szCs w:val="28"/>
        </w:rPr>
      </w:pPr>
      <w:r w:rsidRPr="000C6A08">
        <w:rPr>
          <w:sz w:val="28"/>
          <w:szCs w:val="28"/>
        </w:rPr>
        <w:t>Оценка долговой нагрузки складывается из взвешенных оценок четырёх показателей: «Соотношение долговой нагрузки и налоговых и неналоговых доходов» (вес 40</w:t>
      </w:r>
      <w:r w:rsidR="000A292B">
        <w:rPr>
          <w:sz w:val="28"/>
          <w:szCs w:val="28"/>
        </w:rPr>
        <w:t> </w:t>
      </w:r>
      <w:r w:rsidRPr="000C6A08">
        <w:rPr>
          <w:sz w:val="28"/>
          <w:szCs w:val="28"/>
        </w:rPr>
        <w:t>%), «Соотношение доступного ресурса и долговой нагрузки» (вес 25</w:t>
      </w:r>
      <w:r w:rsidR="000A292B">
        <w:rPr>
          <w:sz w:val="28"/>
          <w:szCs w:val="28"/>
        </w:rPr>
        <w:t> </w:t>
      </w:r>
      <w:r w:rsidRPr="000C6A08">
        <w:rPr>
          <w:sz w:val="28"/>
          <w:szCs w:val="28"/>
        </w:rPr>
        <w:t>%), «Соотношение доступного ресурса и процентных расходов» (вес 10</w:t>
      </w:r>
      <w:r w:rsidR="000A292B">
        <w:rPr>
          <w:sz w:val="28"/>
          <w:szCs w:val="28"/>
        </w:rPr>
        <w:t> </w:t>
      </w:r>
      <w:r w:rsidRPr="000C6A08">
        <w:rPr>
          <w:sz w:val="28"/>
          <w:szCs w:val="28"/>
        </w:rPr>
        <w:t>%), «Соотношение процентных расходов и налоговых и неналоговых доходов» (вес 25</w:t>
      </w:r>
      <w:r w:rsidR="000A292B">
        <w:rPr>
          <w:sz w:val="28"/>
          <w:szCs w:val="28"/>
        </w:rPr>
        <w:t> </w:t>
      </w:r>
      <w:r w:rsidRPr="000C6A08">
        <w:rPr>
          <w:sz w:val="28"/>
          <w:szCs w:val="28"/>
        </w:rPr>
        <w:t>%).</w:t>
      </w:r>
    </w:p>
    <w:p w:rsidR="00AA5FD5" w:rsidRDefault="00AA5FD5" w:rsidP="00D07B7A">
      <w:pPr>
        <w:spacing w:line="312" w:lineRule="auto"/>
        <w:ind w:firstLine="709"/>
        <w:jc w:val="both"/>
        <w:rPr>
          <w:sz w:val="28"/>
          <w:szCs w:val="28"/>
        </w:rPr>
      </w:pPr>
      <w:r w:rsidRPr="000C6A08">
        <w:rPr>
          <w:sz w:val="28"/>
          <w:szCs w:val="28"/>
        </w:rPr>
        <w:t>Показатель «Соотношение долговой нагрузки и налоговых и неналоговых доходов»</w:t>
      </w:r>
      <w:r w:rsidRPr="00F9327C">
        <w:rPr>
          <w:sz w:val="28"/>
          <w:szCs w:val="28"/>
        </w:rPr>
        <w:t xml:space="preserve"> характеризует соответствие финансовых обязательств бюджета его доходной базе, а также нормативным требованиям. Нарушение последних может расцениваться как нарушение условий предоставления или реструктуризации бюджетных кредитов и может привести к требованию их досрочного погашения. Высокий уровень накопленной задолженности относительно доходной базы </w:t>
      </w:r>
      <w:proofErr w:type="spellStart"/>
      <w:r>
        <w:rPr>
          <w:sz w:val="28"/>
          <w:szCs w:val="28"/>
        </w:rPr>
        <w:t>рейтингуемого</w:t>
      </w:r>
      <w:proofErr w:type="spellEnd"/>
      <w:r>
        <w:rPr>
          <w:sz w:val="28"/>
          <w:szCs w:val="28"/>
        </w:rPr>
        <w:t xml:space="preserve"> лица влечёт повышенный риск</w:t>
      </w:r>
      <w:r w:rsidRPr="00F9327C">
        <w:rPr>
          <w:sz w:val="28"/>
          <w:szCs w:val="28"/>
        </w:rPr>
        <w:t xml:space="preserve"> рефинансирования и необходимость отвлекать существенную часть средств бюджета на обслуживание и погашение долга, что в условиях высокой доли неснижаемых расходов неизбежно ведёт к эскалации долговой нагрузки.</w:t>
      </w:r>
    </w:p>
    <w:p w:rsidR="00AA5FD5" w:rsidRPr="000C6A08" w:rsidRDefault="00AA5FD5" w:rsidP="00D07B7A">
      <w:pPr>
        <w:spacing w:line="312" w:lineRule="auto"/>
        <w:ind w:firstLine="709"/>
        <w:jc w:val="both"/>
        <w:rPr>
          <w:sz w:val="28"/>
          <w:szCs w:val="28"/>
        </w:rPr>
      </w:pPr>
      <w:r w:rsidRPr="00F26032">
        <w:rPr>
          <w:sz w:val="28"/>
          <w:szCs w:val="28"/>
        </w:rPr>
        <w:t xml:space="preserve">Показатель </w:t>
      </w:r>
      <w:r w:rsidRPr="000C6A08">
        <w:rPr>
          <w:sz w:val="28"/>
          <w:szCs w:val="28"/>
        </w:rPr>
        <w:t xml:space="preserve">«Соотношение доступного ресурса и долговой нагрузки» позволяет оценить уровень задолженности </w:t>
      </w:r>
      <w:proofErr w:type="spellStart"/>
      <w:r w:rsidRPr="000C6A08">
        <w:rPr>
          <w:sz w:val="28"/>
          <w:szCs w:val="28"/>
        </w:rPr>
        <w:t>рейтингуемого</w:t>
      </w:r>
      <w:proofErr w:type="spellEnd"/>
      <w:r w:rsidRPr="000C6A08">
        <w:rPr>
          <w:sz w:val="28"/>
          <w:szCs w:val="28"/>
        </w:rPr>
        <w:t xml:space="preserve"> лица с учётом факторов внешней финансовой помощи (уровень дотаций) и гибкости бюджета (уровень неснижаемых расходов). Низкое значение показателя свидетельствует о недостаточности ресурсов для погашения долга и с высокой долей вероятности указывает на необходимость рефинансирования задолженности или её рост в будущем.</w:t>
      </w:r>
    </w:p>
    <w:p w:rsidR="00AA5FD5" w:rsidRPr="000C6A08" w:rsidRDefault="00AA5FD5" w:rsidP="00D07B7A">
      <w:pPr>
        <w:spacing w:line="312" w:lineRule="auto"/>
        <w:ind w:firstLine="709"/>
        <w:jc w:val="both"/>
        <w:rPr>
          <w:sz w:val="28"/>
          <w:szCs w:val="28"/>
        </w:rPr>
      </w:pPr>
      <w:r w:rsidRPr="000C6A08">
        <w:rPr>
          <w:sz w:val="28"/>
          <w:szCs w:val="28"/>
        </w:rPr>
        <w:t xml:space="preserve">Показатель «Соотношение доступного ресурса и процентных расходов» характеризует достаточность средств </w:t>
      </w:r>
      <w:proofErr w:type="spellStart"/>
      <w:r w:rsidRPr="000C6A08">
        <w:rPr>
          <w:sz w:val="28"/>
          <w:szCs w:val="28"/>
        </w:rPr>
        <w:t>рейтингуемого</w:t>
      </w:r>
      <w:proofErr w:type="spellEnd"/>
      <w:r w:rsidRPr="000C6A08">
        <w:rPr>
          <w:sz w:val="28"/>
          <w:szCs w:val="28"/>
        </w:rPr>
        <w:t xml:space="preserve"> лица для обслуживания долга. Аналогично предыдущему показателю, низкое соотношение доступного ресурса и процентных расходов сигнализирует о недостаточности собственных ресурсов бюджета для обслуживания долговых обязательств.</w:t>
      </w:r>
    </w:p>
    <w:p w:rsidR="00AA5FD5" w:rsidRDefault="00AA5FD5" w:rsidP="00D07B7A">
      <w:pPr>
        <w:spacing w:line="312" w:lineRule="auto"/>
        <w:ind w:firstLine="709"/>
        <w:jc w:val="both"/>
        <w:rPr>
          <w:sz w:val="28"/>
          <w:szCs w:val="28"/>
        </w:rPr>
      </w:pPr>
      <w:r w:rsidRPr="000C6A08">
        <w:rPr>
          <w:sz w:val="28"/>
          <w:szCs w:val="28"/>
        </w:rPr>
        <w:t>Показатель «Соотношение процентных расходов и налоговых и неналоговых доходов»</w:t>
      </w:r>
      <w:r w:rsidRPr="00F61888">
        <w:rPr>
          <w:sz w:val="28"/>
          <w:szCs w:val="28"/>
        </w:rPr>
        <w:t xml:space="preserve"> позволяет сопоставить расходы на обслуживание долга и доходную базу бюджета </w:t>
      </w:r>
      <w:r>
        <w:rPr>
          <w:sz w:val="28"/>
          <w:szCs w:val="28"/>
        </w:rPr>
        <w:t>региональных и муниципальных органов</w:t>
      </w:r>
      <w:r w:rsidRPr="000C1942">
        <w:rPr>
          <w:sz w:val="28"/>
          <w:szCs w:val="28"/>
        </w:rPr>
        <w:t xml:space="preserve"> власти Российской Федерации</w:t>
      </w:r>
      <w:r w:rsidRPr="00F61888">
        <w:rPr>
          <w:sz w:val="28"/>
          <w:szCs w:val="28"/>
        </w:rPr>
        <w:t xml:space="preserve">. Высокий уровень стоимости долга относительно </w:t>
      </w:r>
      <w:r w:rsidRPr="001061FD">
        <w:rPr>
          <w:sz w:val="28"/>
          <w:szCs w:val="28"/>
        </w:rPr>
        <w:t>налоговых и неналоговых доходов</w:t>
      </w:r>
      <w:r w:rsidRPr="00F61888">
        <w:rPr>
          <w:sz w:val="28"/>
          <w:szCs w:val="28"/>
        </w:rPr>
        <w:t xml:space="preserve"> сокращает объём средств, которые могут быть направлены на финансирование неснижаемых расходов и погашение долга. Высокое соотношение процентных расходов и </w:t>
      </w:r>
      <w:r w:rsidRPr="001061FD">
        <w:rPr>
          <w:sz w:val="28"/>
          <w:szCs w:val="28"/>
        </w:rPr>
        <w:t>налоговых и неналоговых доходов</w:t>
      </w:r>
      <w:r w:rsidRPr="00F61888">
        <w:rPr>
          <w:sz w:val="28"/>
          <w:szCs w:val="28"/>
        </w:rPr>
        <w:t xml:space="preserve"> может наблюдаться даже при относительно небольшой долговой нагрузке, например, в случае использования преимущественно рыночных инструментов финансирования. Напротив, большая доля бюджетных кредитов в составе долговой нагрузки обычно сопровождается низким соотношением процентных расходов и </w:t>
      </w:r>
      <w:r w:rsidRPr="001061FD">
        <w:rPr>
          <w:sz w:val="28"/>
          <w:szCs w:val="28"/>
        </w:rPr>
        <w:t>налоговых и неналоговых доходов</w:t>
      </w:r>
      <w:r w:rsidRPr="00F61888">
        <w:rPr>
          <w:sz w:val="28"/>
          <w:szCs w:val="28"/>
        </w:rPr>
        <w:t xml:space="preserve"> даже при высоком уровне долговой нагрузки относительно </w:t>
      </w:r>
      <w:r w:rsidRPr="001061FD">
        <w:rPr>
          <w:sz w:val="28"/>
          <w:szCs w:val="28"/>
        </w:rPr>
        <w:t>налоговых и неналоговых доходов</w:t>
      </w:r>
      <w:r w:rsidRPr="00F61888">
        <w:rPr>
          <w:sz w:val="28"/>
          <w:szCs w:val="28"/>
        </w:rPr>
        <w:t>.</w:t>
      </w:r>
    </w:p>
    <w:p w:rsidR="00AA5FD5" w:rsidRPr="00F049E2" w:rsidRDefault="00AA5FD5" w:rsidP="00D07B7A">
      <w:pPr>
        <w:spacing w:line="312" w:lineRule="auto"/>
        <w:ind w:firstLine="709"/>
        <w:jc w:val="both"/>
        <w:rPr>
          <w:sz w:val="28"/>
          <w:szCs w:val="28"/>
        </w:rPr>
      </w:pPr>
      <w:r w:rsidRPr="00F049E2">
        <w:rPr>
          <w:sz w:val="28"/>
          <w:szCs w:val="28"/>
        </w:rPr>
        <w:t>2.</w:t>
      </w:r>
      <w:r w:rsidR="00F049E2" w:rsidRPr="00F049E2">
        <w:rPr>
          <w:sz w:val="28"/>
          <w:szCs w:val="28"/>
        </w:rPr>
        <w:t>4.</w:t>
      </w:r>
      <w:r w:rsidR="00F049E2">
        <w:rPr>
          <w:sz w:val="28"/>
          <w:szCs w:val="28"/>
        </w:rPr>
        <w:t>3</w:t>
      </w:r>
      <w:r w:rsidRPr="00F049E2">
        <w:rPr>
          <w:sz w:val="28"/>
          <w:szCs w:val="28"/>
        </w:rPr>
        <w:t>. Региональная экономика.</w:t>
      </w:r>
    </w:p>
    <w:p w:rsidR="00AA5FD5" w:rsidRDefault="00AA5FD5" w:rsidP="00D07B7A">
      <w:pPr>
        <w:spacing w:line="312" w:lineRule="auto"/>
        <w:ind w:firstLine="709"/>
        <w:jc w:val="both"/>
        <w:rPr>
          <w:sz w:val="28"/>
          <w:szCs w:val="28"/>
        </w:rPr>
      </w:pPr>
      <w:r w:rsidRPr="00210B42">
        <w:rPr>
          <w:sz w:val="28"/>
          <w:szCs w:val="28"/>
        </w:rPr>
        <w:t>Фактор «Региональная экономика» оценивает</w:t>
      </w:r>
      <w:r>
        <w:rPr>
          <w:sz w:val="28"/>
          <w:szCs w:val="28"/>
        </w:rPr>
        <w:t xml:space="preserve"> налоговый потенциал субъекта Российской Федерации</w:t>
      </w:r>
      <w:r w:rsidRPr="00210B42">
        <w:rPr>
          <w:sz w:val="28"/>
          <w:szCs w:val="28"/>
        </w:rPr>
        <w:t xml:space="preserve"> / муниципалитета — способность предприятий и физических лиц (налоговых резидентов) генерировать устойчивый поток налоговых и неналоговых доходов для бюджета </w:t>
      </w:r>
      <w:proofErr w:type="spellStart"/>
      <w:r>
        <w:rPr>
          <w:sz w:val="28"/>
          <w:szCs w:val="28"/>
        </w:rPr>
        <w:t>рейтингуемого</w:t>
      </w:r>
      <w:proofErr w:type="spellEnd"/>
      <w:r>
        <w:rPr>
          <w:sz w:val="28"/>
          <w:szCs w:val="28"/>
        </w:rPr>
        <w:t xml:space="preserve"> лица</w:t>
      </w:r>
      <w:r w:rsidRPr="00210B42">
        <w:rPr>
          <w:sz w:val="28"/>
          <w:szCs w:val="28"/>
        </w:rPr>
        <w:t xml:space="preserve"> в долгосрочной перспективе. Для муниципальных органов власти под региональной экономикой понимается часть экономики субъекта </w:t>
      </w:r>
      <w:r>
        <w:rPr>
          <w:sz w:val="28"/>
          <w:szCs w:val="28"/>
        </w:rPr>
        <w:t>Российской Федерации</w:t>
      </w:r>
      <w:r w:rsidRPr="00210B42">
        <w:rPr>
          <w:sz w:val="28"/>
          <w:szCs w:val="28"/>
        </w:rPr>
        <w:t>, ограниченная административными границами муниципалитета.</w:t>
      </w:r>
    </w:p>
    <w:p w:rsidR="00AA5FD5" w:rsidRDefault="00AA5FD5" w:rsidP="00D07B7A">
      <w:pPr>
        <w:spacing w:line="312" w:lineRule="auto"/>
        <w:ind w:firstLine="709"/>
        <w:jc w:val="both"/>
        <w:rPr>
          <w:sz w:val="28"/>
          <w:szCs w:val="28"/>
        </w:rPr>
      </w:pPr>
      <w:r w:rsidRPr="000C0BBA">
        <w:rPr>
          <w:sz w:val="28"/>
          <w:szCs w:val="28"/>
        </w:rPr>
        <w:t xml:space="preserve">Оценка </w:t>
      </w:r>
      <w:r>
        <w:rPr>
          <w:sz w:val="28"/>
          <w:szCs w:val="28"/>
        </w:rPr>
        <w:t>региональной экономики</w:t>
      </w:r>
      <w:r w:rsidRPr="000C0BBA">
        <w:rPr>
          <w:sz w:val="28"/>
          <w:szCs w:val="28"/>
        </w:rPr>
        <w:t xml:space="preserve"> складывается из оценок </w:t>
      </w:r>
      <w:r>
        <w:rPr>
          <w:sz w:val="28"/>
          <w:szCs w:val="28"/>
        </w:rPr>
        <w:t>пяти</w:t>
      </w:r>
      <w:r w:rsidRPr="000C0BBA">
        <w:rPr>
          <w:sz w:val="28"/>
          <w:szCs w:val="28"/>
        </w:rPr>
        <w:t xml:space="preserve"> показателей: «Отношение налоговых и неналоговых доходов на душу населения к среднему уровню по Российской Федерации» (вес 10</w:t>
      </w:r>
      <w:r>
        <w:rPr>
          <w:sz w:val="28"/>
          <w:szCs w:val="28"/>
        </w:rPr>
        <w:t> </w:t>
      </w:r>
      <w:r w:rsidRPr="000C0BBA">
        <w:rPr>
          <w:sz w:val="28"/>
          <w:szCs w:val="28"/>
        </w:rPr>
        <w:t xml:space="preserve">%), </w:t>
      </w:r>
      <w:r w:rsidRPr="003050F4">
        <w:rPr>
          <w:sz w:val="28"/>
          <w:szCs w:val="28"/>
        </w:rPr>
        <w:t>«Доля бюджетных секторов в налоговых и неналоговых доходах» (вес 40 %),</w:t>
      </w:r>
      <w:r w:rsidRPr="000C0BBA">
        <w:rPr>
          <w:color w:val="FF0000"/>
          <w:sz w:val="28"/>
          <w:szCs w:val="28"/>
        </w:rPr>
        <w:t xml:space="preserve"> </w:t>
      </w:r>
      <w:r w:rsidRPr="00051061">
        <w:rPr>
          <w:sz w:val="28"/>
          <w:szCs w:val="28"/>
        </w:rPr>
        <w:t>«Нормированные среднедушевые денежные доходы» (вес 30 %),</w:t>
      </w:r>
      <w:r w:rsidRPr="000C0BBA">
        <w:rPr>
          <w:color w:val="FF0000"/>
          <w:sz w:val="28"/>
          <w:szCs w:val="28"/>
        </w:rPr>
        <w:t xml:space="preserve"> </w:t>
      </w:r>
      <w:r w:rsidRPr="00FA0AF6">
        <w:rPr>
          <w:sz w:val="28"/>
          <w:szCs w:val="28"/>
        </w:rPr>
        <w:t>«Нормированная зар</w:t>
      </w:r>
      <w:r>
        <w:rPr>
          <w:sz w:val="28"/>
          <w:szCs w:val="28"/>
        </w:rPr>
        <w:t xml:space="preserve">аботная </w:t>
      </w:r>
      <w:r w:rsidRPr="00FA0AF6">
        <w:rPr>
          <w:sz w:val="28"/>
          <w:szCs w:val="28"/>
        </w:rPr>
        <w:t>плата» (вес 10 %)</w:t>
      </w:r>
      <w:r>
        <w:rPr>
          <w:sz w:val="28"/>
          <w:szCs w:val="28"/>
        </w:rPr>
        <w:t xml:space="preserve">, </w:t>
      </w:r>
      <w:r w:rsidRPr="00FA0AF6">
        <w:rPr>
          <w:sz w:val="28"/>
          <w:szCs w:val="28"/>
        </w:rPr>
        <w:t xml:space="preserve">«Логарифм отношения </w:t>
      </w:r>
      <w:r>
        <w:rPr>
          <w:sz w:val="28"/>
          <w:szCs w:val="28"/>
        </w:rPr>
        <w:t>налоговых и неналоговых доходов к среднему уровню по Российской Федерации</w:t>
      </w:r>
      <w:r w:rsidRPr="00FA0AF6">
        <w:rPr>
          <w:sz w:val="28"/>
          <w:szCs w:val="28"/>
        </w:rPr>
        <w:t>» (вес 10 %).</w:t>
      </w:r>
    </w:p>
    <w:p w:rsidR="00AA5FD5" w:rsidRPr="00F049E2" w:rsidRDefault="00AA5FD5" w:rsidP="00D07B7A">
      <w:pPr>
        <w:spacing w:line="312" w:lineRule="auto"/>
        <w:ind w:firstLine="709"/>
        <w:jc w:val="both"/>
        <w:rPr>
          <w:sz w:val="28"/>
          <w:szCs w:val="28"/>
        </w:rPr>
      </w:pPr>
      <w:r w:rsidRPr="003A08BA">
        <w:rPr>
          <w:sz w:val="28"/>
          <w:szCs w:val="28"/>
        </w:rPr>
        <w:t xml:space="preserve">Показатель </w:t>
      </w:r>
      <w:r w:rsidRPr="00F049E2">
        <w:rPr>
          <w:sz w:val="28"/>
          <w:szCs w:val="28"/>
        </w:rPr>
        <w:t xml:space="preserve">«Отношение налоговых и неналоговых доходов на душу населения к среднему уровню по Российской Федерации» позволяет оценить суммарный налоговый потенциал региональной экономики относительно среднероссийского уровня. Как правило, чем выше налоговый потенциал региональной экономики, тем шире возможности </w:t>
      </w:r>
      <w:proofErr w:type="spellStart"/>
      <w:r w:rsidRPr="00F049E2">
        <w:rPr>
          <w:sz w:val="28"/>
          <w:szCs w:val="28"/>
        </w:rPr>
        <w:t>рейтингуемого</w:t>
      </w:r>
      <w:proofErr w:type="spellEnd"/>
      <w:r w:rsidRPr="00F049E2">
        <w:rPr>
          <w:sz w:val="28"/>
          <w:szCs w:val="28"/>
        </w:rPr>
        <w:t xml:space="preserve"> лица по обслуживанию и (или) рефинансированию финансовых обязательств. </w:t>
      </w:r>
    </w:p>
    <w:p w:rsidR="00AA5FD5" w:rsidRPr="00F049E2" w:rsidRDefault="00AA5FD5" w:rsidP="00D07B7A">
      <w:pPr>
        <w:spacing w:line="312" w:lineRule="auto"/>
        <w:ind w:firstLine="709"/>
        <w:jc w:val="both"/>
        <w:rPr>
          <w:sz w:val="28"/>
          <w:szCs w:val="28"/>
        </w:rPr>
      </w:pPr>
      <w:r w:rsidRPr="00F049E2">
        <w:rPr>
          <w:sz w:val="28"/>
          <w:szCs w:val="28"/>
        </w:rPr>
        <w:t xml:space="preserve">Показатель «Доля бюджетных секторов в налоговых и неналоговых доходах» характеризует степень зависимости доходов </w:t>
      </w:r>
      <w:proofErr w:type="spellStart"/>
      <w:r w:rsidRPr="00F049E2">
        <w:rPr>
          <w:sz w:val="28"/>
          <w:szCs w:val="28"/>
        </w:rPr>
        <w:t>рейтингуемого</w:t>
      </w:r>
      <w:proofErr w:type="spellEnd"/>
      <w:r w:rsidRPr="00F049E2">
        <w:rPr>
          <w:sz w:val="28"/>
          <w:szCs w:val="28"/>
        </w:rPr>
        <w:t xml:space="preserve"> лица от бюджетных секторов. Под доходами от бюджетных секторов «НКР» понимает налоговые и неналоговые доходы, поступившие в бюджет </w:t>
      </w:r>
      <w:proofErr w:type="spellStart"/>
      <w:r w:rsidRPr="00F049E2">
        <w:rPr>
          <w:sz w:val="28"/>
          <w:szCs w:val="28"/>
        </w:rPr>
        <w:t>рейтингуемого</w:t>
      </w:r>
      <w:proofErr w:type="spellEnd"/>
      <w:r w:rsidRPr="00F049E2">
        <w:rPr>
          <w:sz w:val="28"/>
          <w:szCs w:val="28"/>
        </w:rPr>
        <w:t xml:space="preserve"> лица от видов деятельности, которые преимущественно финансируются из бюджетов разных уровней (в частности, это такие виды деятельности как «Государственное управление и обеспечение военной безопасности; социальное обеспечение», «Образование» и «Деятельность в области здравоохранения и социальных услуг»). Чем выше значение показателя, тем сильнее доходная часть бюджета </w:t>
      </w:r>
      <w:proofErr w:type="spellStart"/>
      <w:r w:rsidRPr="00F049E2">
        <w:rPr>
          <w:sz w:val="28"/>
          <w:szCs w:val="28"/>
        </w:rPr>
        <w:t>рейтингуемого</w:t>
      </w:r>
      <w:proofErr w:type="spellEnd"/>
      <w:r w:rsidRPr="00F049E2">
        <w:rPr>
          <w:sz w:val="28"/>
          <w:szCs w:val="28"/>
        </w:rPr>
        <w:t xml:space="preserve"> лица зависит от собственных расходов и (или) расходов вышестоящих бюджетов. И, соответственно, тем в большей степени рост налоговых доходов </w:t>
      </w:r>
      <w:proofErr w:type="spellStart"/>
      <w:r w:rsidRPr="00F049E2">
        <w:rPr>
          <w:sz w:val="28"/>
          <w:szCs w:val="28"/>
        </w:rPr>
        <w:t>рейтингуемого</w:t>
      </w:r>
      <w:proofErr w:type="spellEnd"/>
      <w:r w:rsidRPr="00F049E2">
        <w:rPr>
          <w:sz w:val="28"/>
          <w:szCs w:val="28"/>
        </w:rPr>
        <w:t xml:space="preserve"> лица зависит от увеличения бюджетных расходов. Напротив, чем ниже значение показателя, тем более развитой и диверсифицированной обычно является региональная экономика.</w:t>
      </w:r>
    </w:p>
    <w:p w:rsidR="00AA5FD5" w:rsidRPr="00F049E2" w:rsidRDefault="00AA5FD5" w:rsidP="00D07B7A">
      <w:pPr>
        <w:spacing w:line="312" w:lineRule="auto"/>
        <w:ind w:firstLine="709"/>
        <w:jc w:val="both"/>
        <w:rPr>
          <w:sz w:val="28"/>
          <w:szCs w:val="28"/>
        </w:rPr>
      </w:pPr>
      <w:r w:rsidRPr="00F049E2">
        <w:rPr>
          <w:sz w:val="28"/>
          <w:szCs w:val="28"/>
        </w:rPr>
        <w:t xml:space="preserve">Показатель «Нормированные среднедушевые денежные доходы» характеризует потенциал </w:t>
      </w:r>
      <w:proofErr w:type="spellStart"/>
      <w:r w:rsidRPr="00F049E2">
        <w:rPr>
          <w:sz w:val="28"/>
          <w:szCs w:val="28"/>
        </w:rPr>
        <w:t>рейтингуемого</w:t>
      </w:r>
      <w:proofErr w:type="spellEnd"/>
      <w:r w:rsidRPr="00F049E2">
        <w:rPr>
          <w:sz w:val="28"/>
          <w:szCs w:val="28"/>
        </w:rPr>
        <w:t xml:space="preserve"> лица в части налогообложения населения, который, как правило, более стабилен по сравнению с общим налоговым потенциалом региональных и муниципальных органов власти Российской Федерации. Высокое значение показателя обычно свидетельствует о более широких возможностях </w:t>
      </w:r>
      <w:proofErr w:type="spellStart"/>
      <w:r w:rsidRPr="00F049E2">
        <w:rPr>
          <w:sz w:val="28"/>
          <w:szCs w:val="28"/>
        </w:rPr>
        <w:t>рейтингуемого</w:t>
      </w:r>
      <w:proofErr w:type="spellEnd"/>
      <w:r w:rsidRPr="00F049E2">
        <w:rPr>
          <w:sz w:val="28"/>
          <w:szCs w:val="28"/>
        </w:rPr>
        <w:t xml:space="preserve"> лица по обслуживанию и (или) рефинансированию финансовых обязательств. Показатель рассчитывается как отношение среднедушевых денежных доходов в соответствующем субъекте Российской Федерации / муниципалитете к величине прожиточного минимума всех категорий населения в данном субъекте Российской Федерации / муниципалитете. Нормирование на прожиточный минимум позволяет учесть региональную дифференциацию покупательной способности среднедушевых денежных доходов.</w:t>
      </w:r>
    </w:p>
    <w:p w:rsidR="00AA5FD5" w:rsidRPr="00F049E2" w:rsidRDefault="00AA5FD5" w:rsidP="00D07B7A">
      <w:pPr>
        <w:spacing w:line="312" w:lineRule="auto"/>
        <w:ind w:firstLine="709"/>
        <w:jc w:val="both"/>
        <w:rPr>
          <w:sz w:val="28"/>
          <w:szCs w:val="28"/>
        </w:rPr>
      </w:pPr>
      <w:r w:rsidRPr="00F049E2">
        <w:rPr>
          <w:sz w:val="28"/>
          <w:szCs w:val="28"/>
        </w:rPr>
        <w:t xml:space="preserve">Показатель «Нормированная заработная плата» позволяет оценить потенциал региональных и муниципальных органов власти Российской Федерации в части налогообложения наиболее стабильной части доходов населения. Как и в случае с нормированными среднедушевыми денежными доходами, высокое значение показателя обычно свидетельствует о более широких возможностях </w:t>
      </w:r>
      <w:proofErr w:type="spellStart"/>
      <w:r w:rsidRPr="00F049E2">
        <w:rPr>
          <w:sz w:val="28"/>
          <w:szCs w:val="28"/>
        </w:rPr>
        <w:t>рейтингуемого</w:t>
      </w:r>
      <w:proofErr w:type="spellEnd"/>
      <w:r w:rsidRPr="00F049E2">
        <w:rPr>
          <w:sz w:val="28"/>
          <w:szCs w:val="28"/>
        </w:rPr>
        <w:t xml:space="preserve"> лица по обслуживанию и (или) рефинансированию финансовых обязательств. Показатель рассчитывается как отношение нормированной среднемесячной начисленной заработной платы в соответствующем субъекте Российской Федерации / муниципалитете к величине прожиточного минимума всех категорий населения в данном субъекте Российской Федерации / муниципалитете. Нормирование на прожиточный минимум позволяет учесть региональную дифференциацию покупательной способности заработной платы.</w:t>
      </w:r>
    </w:p>
    <w:p w:rsidR="00AA5FD5" w:rsidRPr="006337E3" w:rsidRDefault="00AA5FD5" w:rsidP="00D07B7A">
      <w:pPr>
        <w:spacing w:line="312" w:lineRule="auto"/>
        <w:ind w:firstLine="709"/>
        <w:jc w:val="both"/>
        <w:rPr>
          <w:sz w:val="28"/>
          <w:szCs w:val="28"/>
        </w:rPr>
      </w:pPr>
      <w:r w:rsidRPr="00F049E2">
        <w:rPr>
          <w:sz w:val="28"/>
          <w:szCs w:val="28"/>
        </w:rPr>
        <w:t>Показатель «Логарифм отношения налоговых и неналоговых доходов к среднему уровню по Российской Федерации»</w:t>
      </w:r>
      <w:r w:rsidRPr="006337E3">
        <w:t xml:space="preserve"> </w:t>
      </w:r>
      <w:r w:rsidRPr="006337E3">
        <w:rPr>
          <w:sz w:val="28"/>
          <w:szCs w:val="28"/>
        </w:rPr>
        <w:t xml:space="preserve">отражает дифференциацию субъектов Российской Федерации / муниципалитетов по размеру, которая, как правило, определяет доступность рынков капитала для </w:t>
      </w:r>
      <w:proofErr w:type="spellStart"/>
      <w:r>
        <w:rPr>
          <w:sz w:val="28"/>
          <w:szCs w:val="28"/>
        </w:rPr>
        <w:t>рейтингуемого</w:t>
      </w:r>
      <w:proofErr w:type="spellEnd"/>
      <w:r>
        <w:rPr>
          <w:sz w:val="28"/>
          <w:szCs w:val="28"/>
        </w:rPr>
        <w:t xml:space="preserve"> лица</w:t>
      </w:r>
      <w:r w:rsidRPr="006337E3">
        <w:rPr>
          <w:sz w:val="28"/>
          <w:szCs w:val="28"/>
        </w:rPr>
        <w:t xml:space="preserve"> и потенциал диверсификации источников его налоговых и неналоговых доходов. Показатель рассчитывается как натуральный логарифм отношения налоговых и неналоговых доходов </w:t>
      </w:r>
      <w:proofErr w:type="spellStart"/>
      <w:r w:rsidRPr="006337E3">
        <w:rPr>
          <w:sz w:val="28"/>
          <w:szCs w:val="28"/>
        </w:rPr>
        <w:t>рейтингуемого</w:t>
      </w:r>
      <w:proofErr w:type="spellEnd"/>
      <w:r w:rsidRPr="006337E3">
        <w:rPr>
          <w:sz w:val="28"/>
          <w:szCs w:val="28"/>
        </w:rPr>
        <w:t xml:space="preserve"> лица к среднему налоговых и неналоговых доходов по субъектам Российской Федерации.</w:t>
      </w:r>
    </w:p>
    <w:p w:rsidR="00AA5FD5" w:rsidRPr="00093A40" w:rsidRDefault="00AA5FD5" w:rsidP="00D07B7A">
      <w:pPr>
        <w:spacing w:line="312" w:lineRule="auto"/>
        <w:ind w:firstLine="709"/>
        <w:jc w:val="both"/>
        <w:rPr>
          <w:sz w:val="28"/>
          <w:szCs w:val="28"/>
        </w:rPr>
      </w:pPr>
      <w:r w:rsidRPr="00093A40">
        <w:rPr>
          <w:i/>
          <w:sz w:val="28"/>
          <w:szCs w:val="28"/>
        </w:rPr>
        <w:t>Экспертная корректировка показателя с учётом миграционного прироста.</w:t>
      </w:r>
      <w:r w:rsidRPr="00093A40">
        <w:rPr>
          <w:sz w:val="28"/>
          <w:szCs w:val="28"/>
        </w:rPr>
        <w:t xml:space="preserve"> Динамика миграционного прироста служит индикатором привлекательности субъекта Российской Федерации /муниципалитета с социально-экономической точки зрения и влияет на темпы роста налоговых и неналоговых доходов на горизонте ближайших трёх лет. Соответственно, для субъектов Российской Федерации /муниципалитетов, которые последние 3 года демонстрировали высокий миграционный прирост, базовая оценка показателя «Логарифм отношения налоговых и неналоговых доходов к среднему уровню по Российской Федерации» может быть повышена, но не более чем на 1 балл. Напротив, стабильно высокий миграционный отток может быть основанием для снижения базовой оценки показателя, но не более чем на 1 балл.</w:t>
      </w:r>
    </w:p>
    <w:p w:rsidR="00AA5FD5" w:rsidRPr="00F049E2" w:rsidRDefault="00AA5FD5" w:rsidP="00D07B7A">
      <w:pPr>
        <w:spacing w:line="312" w:lineRule="auto"/>
        <w:ind w:firstLine="709"/>
        <w:jc w:val="both"/>
        <w:rPr>
          <w:sz w:val="28"/>
          <w:szCs w:val="28"/>
        </w:rPr>
      </w:pPr>
      <w:r w:rsidRPr="00F049E2">
        <w:rPr>
          <w:sz w:val="28"/>
          <w:szCs w:val="28"/>
        </w:rPr>
        <w:t>2.</w:t>
      </w:r>
      <w:r w:rsidR="00F049E2" w:rsidRPr="00F049E2">
        <w:rPr>
          <w:sz w:val="28"/>
          <w:szCs w:val="28"/>
        </w:rPr>
        <w:t>4</w:t>
      </w:r>
      <w:r w:rsidRPr="00F049E2">
        <w:rPr>
          <w:sz w:val="28"/>
          <w:szCs w:val="28"/>
        </w:rPr>
        <w:t>.4. История управления долгом и ликвидностью.</w:t>
      </w:r>
    </w:p>
    <w:p w:rsidR="00AA5FD5" w:rsidRDefault="00AA5FD5" w:rsidP="00D07B7A">
      <w:pPr>
        <w:spacing w:line="312" w:lineRule="auto"/>
        <w:ind w:firstLine="709"/>
        <w:jc w:val="both"/>
        <w:rPr>
          <w:sz w:val="28"/>
          <w:szCs w:val="28"/>
        </w:rPr>
      </w:pPr>
      <w:r w:rsidRPr="00C54994">
        <w:rPr>
          <w:sz w:val="28"/>
          <w:szCs w:val="28"/>
        </w:rPr>
        <w:t xml:space="preserve">В ходе рейтингового анализа </w:t>
      </w:r>
      <w:r>
        <w:rPr>
          <w:sz w:val="28"/>
          <w:szCs w:val="28"/>
        </w:rPr>
        <w:t>«НКР»</w:t>
      </w:r>
      <w:r w:rsidRPr="00C54994">
        <w:rPr>
          <w:sz w:val="28"/>
          <w:szCs w:val="28"/>
        </w:rPr>
        <w:t xml:space="preserve"> учитывает кредитную историю </w:t>
      </w:r>
      <w:proofErr w:type="spellStart"/>
      <w:r w:rsidRPr="00C54994">
        <w:rPr>
          <w:sz w:val="28"/>
          <w:szCs w:val="28"/>
        </w:rPr>
        <w:t>рейтингуемого</w:t>
      </w:r>
      <w:proofErr w:type="spellEnd"/>
      <w:r w:rsidRPr="00C54994">
        <w:rPr>
          <w:sz w:val="28"/>
          <w:szCs w:val="28"/>
        </w:rPr>
        <w:t xml:space="preserve"> лица, включая факты вынужденной реструктуризации коммерческого долга, наличие и динамику просроченной кредиторской задолженности, а также практику управления долгом, в том числе долг компаний государственного сектора и нижестоящих бюджетов. </w:t>
      </w:r>
    </w:p>
    <w:p w:rsidR="00AA5FD5" w:rsidRDefault="00AA5FD5" w:rsidP="00D07B7A">
      <w:pPr>
        <w:spacing w:line="312" w:lineRule="auto"/>
        <w:ind w:firstLine="709"/>
        <w:jc w:val="both"/>
        <w:rPr>
          <w:sz w:val="28"/>
          <w:szCs w:val="28"/>
        </w:rPr>
      </w:pPr>
      <w:r w:rsidRPr="00C54994">
        <w:rPr>
          <w:sz w:val="28"/>
          <w:szCs w:val="28"/>
        </w:rPr>
        <w:t xml:space="preserve">Например, наличие в прошлом фактов нарушения графиков обслуживания и погашения долга, длительных периодов аккумуляции просроченной кредиторской задолженности или задолженности государственных компаний или бюджетов нижестоящих уровней могут быть расценены как низкая платёжная дисциплина </w:t>
      </w:r>
      <w:proofErr w:type="spellStart"/>
      <w:r w:rsidRPr="00C54994">
        <w:rPr>
          <w:sz w:val="28"/>
          <w:szCs w:val="28"/>
        </w:rPr>
        <w:t>рейтингуемого</w:t>
      </w:r>
      <w:proofErr w:type="spellEnd"/>
      <w:r w:rsidRPr="00C54994">
        <w:rPr>
          <w:sz w:val="28"/>
          <w:szCs w:val="28"/>
        </w:rPr>
        <w:t xml:space="preserve"> лица. </w:t>
      </w:r>
    </w:p>
    <w:p w:rsidR="00AA5FD5" w:rsidRDefault="00AA5FD5" w:rsidP="00D07B7A">
      <w:pPr>
        <w:spacing w:line="312" w:lineRule="auto"/>
        <w:ind w:firstLine="709"/>
        <w:jc w:val="both"/>
        <w:rPr>
          <w:sz w:val="28"/>
          <w:szCs w:val="28"/>
        </w:rPr>
      </w:pPr>
      <w:r w:rsidRPr="00C54994">
        <w:rPr>
          <w:sz w:val="28"/>
          <w:szCs w:val="28"/>
        </w:rPr>
        <w:t xml:space="preserve">«НКР» учитывает наличие процедур, </w:t>
      </w:r>
      <w:proofErr w:type="spellStart"/>
      <w:r w:rsidRPr="00C54994">
        <w:rPr>
          <w:sz w:val="28"/>
          <w:szCs w:val="28"/>
        </w:rPr>
        <w:t>минимизирующих</w:t>
      </w:r>
      <w:proofErr w:type="spellEnd"/>
      <w:r w:rsidRPr="00C54994">
        <w:rPr>
          <w:sz w:val="28"/>
          <w:szCs w:val="28"/>
        </w:rPr>
        <w:t xml:space="preserve"> риски вынужденной реструктуризации долга и снижающих процентную нагрузку на бюджет (например, активное управления ликвидностью путём чередования казначейских и банковских займов с целью снижения расходов на обслуживание долга), равно как и практики, подвергающие бюджет </w:t>
      </w:r>
      <w:proofErr w:type="spellStart"/>
      <w:r w:rsidRPr="00C54994">
        <w:rPr>
          <w:sz w:val="28"/>
          <w:szCs w:val="28"/>
        </w:rPr>
        <w:t>рейтингуемого</w:t>
      </w:r>
      <w:proofErr w:type="spellEnd"/>
      <w:r w:rsidRPr="00C54994">
        <w:rPr>
          <w:sz w:val="28"/>
          <w:szCs w:val="28"/>
        </w:rPr>
        <w:t xml:space="preserve"> лица неоправданному риску дополнительных расходов. </w:t>
      </w:r>
    </w:p>
    <w:p w:rsidR="00AA5FD5" w:rsidRDefault="00AA5FD5" w:rsidP="00D07B7A">
      <w:pPr>
        <w:spacing w:line="312" w:lineRule="auto"/>
        <w:ind w:firstLine="709"/>
        <w:jc w:val="both"/>
        <w:rPr>
          <w:sz w:val="28"/>
          <w:szCs w:val="28"/>
        </w:rPr>
      </w:pPr>
      <w:r w:rsidRPr="00C54994">
        <w:rPr>
          <w:sz w:val="28"/>
          <w:szCs w:val="28"/>
        </w:rPr>
        <w:t xml:space="preserve">В частности, Агентство учитывает кредитное качество банков, в которых размещаются средства бюджета и бюджетных организаций, использование краткосрочного казначейского финансирования для снижения процентных расходов по банковским займам и формирование долгосрочной структуры долгового портфеля. </w:t>
      </w:r>
    </w:p>
    <w:p w:rsidR="00AA5FD5" w:rsidRDefault="00AA5FD5" w:rsidP="00D07B7A">
      <w:pPr>
        <w:spacing w:line="312" w:lineRule="auto"/>
        <w:ind w:firstLine="709"/>
        <w:jc w:val="both"/>
        <w:rPr>
          <w:sz w:val="28"/>
          <w:szCs w:val="28"/>
        </w:rPr>
      </w:pPr>
      <w:r w:rsidRPr="00C54994">
        <w:rPr>
          <w:sz w:val="28"/>
          <w:szCs w:val="28"/>
        </w:rPr>
        <w:t>Оценке фактора «История управления долгом и ликвидностью» на уровне 7 баллов соответствует управленческая практика, существенно превосходящая средний уровень по</w:t>
      </w:r>
      <w:r>
        <w:rPr>
          <w:sz w:val="28"/>
          <w:szCs w:val="28"/>
        </w:rPr>
        <w:t xml:space="preserve"> </w:t>
      </w:r>
      <w:r w:rsidRPr="00C54994">
        <w:rPr>
          <w:sz w:val="28"/>
          <w:szCs w:val="28"/>
        </w:rPr>
        <w:t xml:space="preserve">субъектам </w:t>
      </w:r>
      <w:r>
        <w:rPr>
          <w:sz w:val="28"/>
          <w:szCs w:val="28"/>
        </w:rPr>
        <w:t>Российской Федерации</w:t>
      </w:r>
      <w:r w:rsidRPr="00C54994">
        <w:rPr>
          <w:sz w:val="28"/>
          <w:szCs w:val="28"/>
        </w:rPr>
        <w:t xml:space="preserve">. Базовая оценка фактора — 6 баллов, при этом в случае выявления фактов, подвергающих риску финансовую стабильность и кредитоспособность </w:t>
      </w:r>
      <w:r w:rsidRPr="00DB778E">
        <w:rPr>
          <w:sz w:val="28"/>
          <w:szCs w:val="28"/>
        </w:rPr>
        <w:t>региональных и муниципальных органов власти Российской Федерации</w:t>
      </w:r>
      <w:r w:rsidRPr="00C54994">
        <w:rPr>
          <w:sz w:val="28"/>
          <w:szCs w:val="28"/>
        </w:rPr>
        <w:t xml:space="preserve">, базовая оценка может быть снижена. </w:t>
      </w:r>
    </w:p>
    <w:p w:rsidR="00AA5FD5" w:rsidRDefault="00AA5FD5" w:rsidP="00D07B7A">
      <w:pPr>
        <w:spacing w:line="312" w:lineRule="auto"/>
        <w:ind w:firstLine="709"/>
        <w:jc w:val="both"/>
        <w:rPr>
          <w:sz w:val="28"/>
          <w:szCs w:val="28"/>
        </w:rPr>
      </w:pPr>
      <w:r w:rsidRPr="00C54994">
        <w:rPr>
          <w:sz w:val="28"/>
          <w:szCs w:val="28"/>
        </w:rPr>
        <w:t>В частности, могут применяться следующие вычеты (вычеты могут суммироваться):</w:t>
      </w:r>
    </w:p>
    <w:p w:rsidR="00AA5FD5" w:rsidRDefault="00AA5FD5" w:rsidP="00D07B7A">
      <w:pPr>
        <w:spacing w:line="312" w:lineRule="auto"/>
        <w:ind w:firstLine="709"/>
        <w:jc w:val="both"/>
        <w:rPr>
          <w:sz w:val="28"/>
          <w:szCs w:val="28"/>
        </w:rPr>
      </w:pPr>
      <w:r w:rsidRPr="00C54994">
        <w:rPr>
          <w:sz w:val="28"/>
          <w:szCs w:val="28"/>
        </w:rPr>
        <w:t xml:space="preserve"> − накопление просроченной кре</w:t>
      </w:r>
      <w:r>
        <w:rPr>
          <w:sz w:val="28"/>
          <w:szCs w:val="28"/>
        </w:rPr>
        <w:t>диторской задолженности, в том числе</w:t>
      </w:r>
      <w:r w:rsidRPr="00C54994">
        <w:rPr>
          <w:sz w:val="28"/>
          <w:szCs w:val="28"/>
        </w:rPr>
        <w:t xml:space="preserve"> на уровне бюджетных организаций (минус 3 балла максимум);</w:t>
      </w:r>
    </w:p>
    <w:p w:rsidR="00AA5FD5" w:rsidRDefault="00AA5FD5" w:rsidP="00D07B7A">
      <w:pPr>
        <w:spacing w:line="312" w:lineRule="auto"/>
        <w:ind w:firstLine="709"/>
        <w:jc w:val="both"/>
        <w:rPr>
          <w:sz w:val="28"/>
          <w:szCs w:val="28"/>
        </w:rPr>
      </w:pPr>
      <w:r w:rsidRPr="00C54994">
        <w:rPr>
          <w:sz w:val="28"/>
          <w:szCs w:val="28"/>
        </w:rPr>
        <w:t xml:space="preserve"> − частое использование краткосрочного банковского кредита для покрытия кассовых разрывов, которое свидетельствует о регулярном дефиците ликвидных ресурсов бюджета </w:t>
      </w:r>
      <w:proofErr w:type="spellStart"/>
      <w:r w:rsidRPr="00DB778E">
        <w:rPr>
          <w:sz w:val="28"/>
          <w:szCs w:val="28"/>
        </w:rPr>
        <w:t>рейтингуемого</w:t>
      </w:r>
      <w:proofErr w:type="spellEnd"/>
      <w:r w:rsidRPr="00DB778E">
        <w:rPr>
          <w:sz w:val="28"/>
          <w:szCs w:val="28"/>
        </w:rPr>
        <w:t xml:space="preserve"> лица</w:t>
      </w:r>
      <w:r w:rsidRPr="00C54994">
        <w:rPr>
          <w:sz w:val="28"/>
          <w:szCs w:val="28"/>
        </w:rPr>
        <w:t xml:space="preserve"> (минус 1 балл максимум);</w:t>
      </w:r>
    </w:p>
    <w:p w:rsidR="00AA5FD5" w:rsidRDefault="00AA5FD5" w:rsidP="00D07B7A">
      <w:pPr>
        <w:spacing w:line="312" w:lineRule="auto"/>
        <w:ind w:firstLine="709"/>
        <w:jc w:val="both"/>
        <w:rPr>
          <w:sz w:val="28"/>
          <w:szCs w:val="28"/>
        </w:rPr>
      </w:pPr>
      <w:r w:rsidRPr="00C54994">
        <w:rPr>
          <w:sz w:val="28"/>
          <w:szCs w:val="28"/>
        </w:rPr>
        <w:t xml:space="preserve"> − размещение средств бюджета и бюджетных о</w:t>
      </w:r>
      <w:r>
        <w:rPr>
          <w:sz w:val="28"/>
          <w:szCs w:val="28"/>
        </w:rPr>
        <w:t>рганизаций, в банках с низкими кредитными рейтингами или без к</w:t>
      </w:r>
      <w:r w:rsidRPr="00C54994">
        <w:rPr>
          <w:sz w:val="28"/>
          <w:szCs w:val="28"/>
        </w:rPr>
        <w:t>редитных рейтингов (минус 2 балла максимум);</w:t>
      </w:r>
    </w:p>
    <w:p w:rsidR="00AA5FD5" w:rsidRDefault="00AA5FD5" w:rsidP="00D07B7A">
      <w:pPr>
        <w:spacing w:line="312" w:lineRule="auto"/>
        <w:ind w:firstLine="709"/>
        <w:jc w:val="both"/>
        <w:rPr>
          <w:sz w:val="28"/>
          <w:szCs w:val="28"/>
        </w:rPr>
      </w:pPr>
      <w:r>
        <w:rPr>
          <w:sz w:val="28"/>
          <w:szCs w:val="28"/>
        </w:rPr>
        <w:t xml:space="preserve"> − прецеденты э</w:t>
      </w:r>
      <w:r w:rsidRPr="00C54994">
        <w:rPr>
          <w:sz w:val="28"/>
          <w:szCs w:val="28"/>
        </w:rPr>
        <w:t xml:space="preserve">кстраординарной поддержки </w:t>
      </w:r>
      <w:proofErr w:type="spellStart"/>
      <w:r w:rsidRPr="00DB778E">
        <w:rPr>
          <w:sz w:val="28"/>
          <w:szCs w:val="28"/>
        </w:rPr>
        <w:t>рейтингуемого</w:t>
      </w:r>
      <w:proofErr w:type="spellEnd"/>
      <w:r w:rsidRPr="00DB778E">
        <w:rPr>
          <w:sz w:val="28"/>
          <w:szCs w:val="28"/>
        </w:rPr>
        <w:t xml:space="preserve"> лица</w:t>
      </w:r>
      <w:r w:rsidRPr="00C54994">
        <w:rPr>
          <w:sz w:val="28"/>
          <w:szCs w:val="28"/>
        </w:rPr>
        <w:t xml:space="preserve"> в течение последних трёх лет из-за слабого управления долгом и (или) ликвидностью (минус 2 балла максимум);</w:t>
      </w:r>
    </w:p>
    <w:p w:rsidR="00AA5FD5" w:rsidRPr="00C54994" w:rsidRDefault="00AA5FD5" w:rsidP="00D07B7A">
      <w:pPr>
        <w:spacing w:line="312" w:lineRule="auto"/>
        <w:ind w:firstLine="709"/>
        <w:jc w:val="both"/>
        <w:rPr>
          <w:sz w:val="28"/>
          <w:szCs w:val="28"/>
        </w:rPr>
      </w:pPr>
      <w:r w:rsidRPr="00C54994">
        <w:rPr>
          <w:sz w:val="28"/>
          <w:szCs w:val="28"/>
        </w:rPr>
        <w:t xml:space="preserve"> − нарушение сроков перечисления страховых взносов за неработающее население в ФОМС (минус 2 балла максимум).</w:t>
      </w:r>
    </w:p>
    <w:p w:rsidR="00F238F5" w:rsidRPr="00F238F5" w:rsidRDefault="009A0C83" w:rsidP="00D07B7A">
      <w:pPr>
        <w:widowControl w:val="0"/>
        <w:spacing w:after="100" w:afterAutospacing="1" w:line="312" w:lineRule="auto"/>
        <w:ind w:firstLine="709"/>
        <w:contextualSpacing/>
        <w:jc w:val="both"/>
        <w:rPr>
          <w:bCs/>
          <w:iCs/>
          <w:sz w:val="28"/>
          <w:szCs w:val="28"/>
          <w:lang w:bidi="ru-RU"/>
        </w:rPr>
      </w:pPr>
      <w:r>
        <w:rPr>
          <w:bCs/>
          <w:iCs/>
          <w:sz w:val="28"/>
          <w:szCs w:val="28"/>
          <w:lang w:bidi="ru-RU"/>
        </w:rPr>
        <w:t xml:space="preserve">3. </w:t>
      </w:r>
      <w:r w:rsidR="00F238F5" w:rsidRPr="00F238F5">
        <w:rPr>
          <w:bCs/>
          <w:iCs/>
          <w:sz w:val="28"/>
          <w:szCs w:val="28"/>
          <w:lang w:bidi="ru-RU"/>
        </w:rPr>
        <w:t xml:space="preserve">Рейтинг социально-экономического положения регионов разрабатывается </w:t>
      </w:r>
      <w:r>
        <w:rPr>
          <w:bCs/>
          <w:iCs/>
          <w:sz w:val="28"/>
          <w:szCs w:val="28"/>
          <w:lang w:bidi="ru-RU"/>
        </w:rPr>
        <w:t xml:space="preserve">также </w:t>
      </w:r>
      <w:r w:rsidR="00F238F5" w:rsidRPr="00F238F5">
        <w:rPr>
          <w:bCs/>
          <w:iCs/>
          <w:sz w:val="28"/>
          <w:szCs w:val="28"/>
          <w:lang w:bidi="ru-RU"/>
        </w:rPr>
        <w:t xml:space="preserve">рейтинговым агентством «РИА Рейтинг». Агентство входит в состав </w:t>
      </w:r>
      <w:proofErr w:type="spellStart"/>
      <w:r w:rsidR="00F238F5" w:rsidRPr="00F238F5">
        <w:rPr>
          <w:bCs/>
          <w:iCs/>
          <w:sz w:val="28"/>
          <w:szCs w:val="28"/>
          <w:lang w:bidi="ru-RU"/>
        </w:rPr>
        <w:t>медиагруппы</w:t>
      </w:r>
      <w:proofErr w:type="spellEnd"/>
      <w:r w:rsidR="00F238F5" w:rsidRPr="00F238F5">
        <w:rPr>
          <w:bCs/>
          <w:iCs/>
          <w:sz w:val="28"/>
          <w:szCs w:val="28"/>
          <w:lang w:bidi="ru-RU"/>
        </w:rPr>
        <w:t xml:space="preserve"> МИА «Россия сегодня» и специализируется на оценке социально-экономической ситуации в российских регионах, экономического состояния компаний, банков, отраслей экономики, отдельных стран; помимо составления рейтингов агентство занимается проведением комплексных экономических исследований в финансовом, корпоративном и государственном секторах. Из числа рейтингов, составляемых «РИА рейтинг», наибольший интерес представляют четыре: социально-экономического положения, качества жизни, кредитоспособности и научно-технологического развития. </w:t>
      </w:r>
    </w:p>
    <w:p w:rsidR="00F238F5" w:rsidRPr="00F238F5" w:rsidRDefault="00F238F5" w:rsidP="00D07B7A">
      <w:pPr>
        <w:widowControl w:val="0"/>
        <w:spacing w:after="100" w:afterAutospacing="1" w:line="312" w:lineRule="auto"/>
        <w:ind w:firstLine="709"/>
        <w:contextualSpacing/>
        <w:jc w:val="both"/>
        <w:rPr>
          <w:bCs/>
          <w:iCs/>
          <w:sz w:val="28"/>
          <w:szCs w:val="28"/>
          <w:lang w:bidi="ru-RU"/>
        </w:rPr>
      </w:pPr>
      <w:r w:rsidRPr="00F238F5">
        <w:rPr>
          <w:bCs/>
          <w:iCs/>
          <w:sz w:val="28"/>
          <w:szCs w:val="28"/>
          <w:lang w:bidi="ru-RU"/>
        </w:rPr>
        <w:t xml:space="preserve">Помимо названных, агентство составляет целый ряд других рейтингов регионов, в частности: по уровню долговой нагрузки; по зарплатам; по вкладам населения; по доступности аренды жилья; по благосостоянию семей; по приверженности населения здоровому образу жизни; по доле расходов населения на услуги ЖКХ; по доступности покупки семьями жилья в ипотеку; по доле задолженности, просроченной населением; по аварийности на дорогах; по социальной ориентированности бюджетов; по отсутствию вредных привычек; по доступности электроэнергии для населения. Исследования агентства отличаются профессиональным подходом, методической корректностью и точностью в получении и использовании данных. Полный перечень региональных рейтингов «РИА Рейтинг» представлен на сайте агентства (http://riarating.ru/regions/index_2.html). </w:t>
      </w:r>
    </w:p>
    <w:p w:rsidR="00F238F5" w:rsidRPr="00F238F5" w:rsidRDefault="00722854" w:rsidP="00D07B7A">
      <w:pPr>
        <w:widowControl w:val="0"/>
        <w:spacing w:after="100" w:afterAutospacing="1" w:line="312" w:lineRule="auto"/>
        <w:ind w:firstLine="709"/>
        <w:contextualSpacing/>
        <w:jc w:val="both"/>
        <w:rPr>
          <w:bCs/>
          <w:iCs/>
          <w:sz w:val="28"/>
          <w:szCs w:val="28"/>
          <w:lang w:bidi="ru-RU"/>
        </w:rPr>
      </w:pPr>
      <w:r>
        <w:rPr>
          <w:bCs/>
          <w:iCs/>
          <w:sz w:val="28"/>
          <w:szCs w:val="28"/>
          <w:lang w:bidi="ru-RU"/>
        </w:rPr>
        <w:t xml:space="preserve">3.1. </w:t>
      </w:r>
      <w:r w:rsidR="00F238F5" w:rsidRPr="00F238F5">
        <w:rPr>
          <w:bCs/>
          <w:iCs/>
          <w:sz w:val="28"/>
          <w:szCs w:val="28"/>
          <w:lang w:bidi="ru-RU"/>
        </w:rPr>
        <w:t xml:space="preserve">Рейтинг социально-экономического положения регионов рассчитывается на основе агрегирования групп показателей, характеризующих экономическую, социальную и бюджетную сферы регионов. Каждая группа показателей включает ряд количественных индикаторов за соответствующий отчетный год, данные по которым получены с официальных интернет-сайтов Росстата, Минфина России и Федерального казначейства. </w:t>
      </w:r>
    </w:p>
    <w:p w:rsidR="00F238F5" w:rsidRPr="00F238F5" w:rsidRDefault="00F238F5" w:rsidP="00D07B7A">
      <w:pPr>
        <w:widowControl w:val="0"/>
        <w:spacing w:after="100" w:afterAutospacing="1" w:line="312" w:lineRule="auto"/>
        <w:ind w:firstLine="709"/>
        <w:contextualSpacing/>
        <w:jc w:val="both"/>
        <w:rPr>
          <w:bCs/>
          <w:iCs/>
          <w:sz w:val="28"/>
          <w:szCs w:val="28"/>
          <w:lang w:bidi="ru-RU"/>
        </w:rPr>
      </w:pPr>
      <w:r w:rsidRPr="00F238F5">
        <w:rPr>
          <w:bCs/>
          <w:iCs/>
          <w:sz w:val="28"/>
          <w:szCs w:val="28"/>
          <w:lang w:bidi="ru-RU"/>
        </w:rPr>
        <w:t xml:space="preserve">Для подготовки рейтинга социально-экономического положения регионов </w:t>
      </w:r>
      <w:r w:rsidR="00722854">
        <w:rPr>
          <w:bCs/>
          <w:iCs/>
          <w:sz w:val="28"/>
          <w:szCs w:val="28"/>
          <w:lang w:bidi="ru-RU"/>
        </w:rPr>
        <w:t xml:space="preserve">«РИА Рейтинг» использует </w:t>
      </w:r>
      <w:r w:rsidR="00722854" w:rsidRPr="00F238F5">
        <w:rPr>
          <w:bCs/>
          <w:iCs/>
          <w:sz w:val="28"/>
          <w:szCs w:val="28"/>
          <w:lang w:bidi="ru-RU"/>
        </w:rPr>
        <w:t>количественны</w:t>
      </w:r>
      <w:r w:rsidR="00722854">
        <w:rPr>
          <w:bCs/>
          <w:iCs/>
          <w:sz w:val="28"/>
          <w:szCs w:val="28"/>
          <w:lang w:bidi="ru-RU"/>
        </w:rPr>
        <w:t>е</w:t>
      </w:r>
      <w:r w:rsidR="00722854" w:rsidRPr="00F238F5">
        <w:rPr>
          <w:bCs/>
          <w:iCs/>
          <w:sz w:val="28"/>
          <w:szCs w:val="28"/>
          <w:lang w:bidi="ru-RU"/>
        </w:rPr>
        <w:t xml:space="preserve"> показател</w:t>
      </w:r>
      <w:r w:rsidR="00722854">
        <w:rPr>
          <w:bCs/>
          <w:iCs/>
          <w:sz w:val="28"/>
          <w:szCs w:val="28"/>
          <w:lang w:bidi="ru-RU"/>
        </w:rPr>
        <w:t>и, причем их количество меняется. Так, при формировании рейтинга</w:t>
      </w:r>
      <w:r w:rsidR="00722854" w:rsidRPr="00F238F5">
        <w:rPr>
          <w:bCs/>
          <w:iCs/>
          <w:sz w:val="28"/>
          <w:szCs w:val="28"/>
          <w:lang w:bidi="ru-RU"/>
        </w:rPr>
        <w:t xml:space="preserve"> </w:t>
      </w:r>
      <w:r w:rsidRPr="00F238F5">
        <w:rPr>
          <w:bCs/>
          <w:iCs/>
          <w:sz w:val="28"/>
          <w:szCs w:val="28"/>
          <w:lang w:bidi="ru-RU"/>
        </w:rPr>
        <w:t>по итогам 2018 г</w:t>
      </w:r>
      <w:r w:rsidR="00722854">
        <w:rPr>
          <w:bCs/>
          <w:iCs/>
          <w:sz w:val="28"/>
          <w:szCs w:val="28"/>
          <w:lang w:bidi="ru-RU"/>
        </w:rPr>
        <w:t>ода</w:t>
      </w:r>
      <w:r w:rsidRPr="00F238F5">
        <w:rPr>
          <w:bCs/>
          <w:iCs/>
          <w:sz w:val="28"/>
          <w:szCs w:val="28"/>
          <w:lang w:bidi="ru-RU"/>
        </w:rPr>
        <w:t xml:space="preserve"> использовалось 18</w:t>
      </w:r>
      <w:r w:rsidR="00722854">
        <w:rPr>
          <w:bCs/>
          <w:iCs/>
          <w:sz w:val="28"/>
          <w:szCs w:val="28"/>
          <w:lang w:bidi="ru-RU"/>
        </w:rPr>
        <w:t xml:space="preserve"> показателей,</w:t>
      </w:r>
      <w:r w:rsidRPr="00F238F5">
        <w:rPr>
          <w:bCs/>
          <w:iCs/>
          <w:sz w:val="28"/>
          <w:szCs w:val="28"/>
          <w:lang w:bidi="ru-RU"/>
        </w:rPr>
        <w:t xml:space="preserve"> </w:t>
      </w:r>
      <w:r w:rsidR="00722854">
        <w:rPr>
          <w:bCs/>
          <w:iCs/>
          <w:sz w:val="28"/>
          <w:szCs w:val="28"/>
          <w:lang w:bidi="ru-RU"/>
        </w:rPr>
        <w:t>р</w:t>
      </w:r>
      <w:r w:rsidRPr="00F238F5">
        <w:rPr>
          <w:bCs/>
          <w:iCs/>
          <w:sz w:val="28"/>
          <w:szCs w:val="28"/>
          <w:lang w:bidi="ru-RU"/>
        </w:rPr>
        <w:t>анее использовалось меньшее количество</w:t>
      </w:r>
      <w:r w:rsidR="00722854">
        <w:rPr>
          <w:bCs/>
          <w:iCs/>
          <w:sz w:val="28"/>
          <w:szCs w:val="28"/>
          <w:lang w:bidi="ru-RU"/>
        </w:rPr>
        <w:t xml:space="preserve"> (</w:t>
      </w:r>
      <w:r w:rsidRPr="00F238F5">
        <w:rPr>
          <w:bCs/>
          <w:iCs/>
          <w:sz w:val="28"/>
          <w:szCs w:val="28"/>
          <w:lang w:bidi="ru-RU"/>
        </w:rPr>
        <w:t>например, рейтинг по итогам 2017 г</w:t>
      </w:r>
      <w:r w:rsidR="00722854">
        <w:rPr>
          <w:bCs/>
          <w:iCs/>
          <w:sz w:val="28"/>
          <w:szCs w:val="28"/>
          <w:lang w:bidi="ru-RU"/>
        </w:rPr>
        <w:t>ода</w:t>
      </w:r>
      <w:r w:rsidRPr="00F238F5">
        <w:rPr>
          <w:bCs/>
          <w:iCs/>
          <w:sz w:val="28"/>
          <w:szCs w:val="28"/>
          <w:lang w:bidi="ru-RU"/>
        </w:rPr>
        <w:t xml:space="preserve"> готовился на основе анализа 15 показателей</w:t>
      </w:r>
      <w:r w:rsidR="00722854">
        <w:rPr>
          <w:bCs/>
          <w:iCs/>
          <w:sz w:val="28"/>
          <w:szCs w:val="28"/>
          <w:lang w:bidi="ru-RU"/>
        </w:rPr>
        <w:t>)</w:t>
      </w:r>
      <w:r w:rsidRPr="00F238F5">
        <w:rPr>
          <w:bCs/>
          <w:iCs/>
          <w:sz w:val="28"/>
          <w:szCs w:val="28"/>
          <w:lang w:bidi="ru-RU"/>
        </w:rPr>
        <w:t xml:space="preserve">. </w:t>
      </w:r>
    </w:p>
    <w:p w:rsidR="00F238F5" w:rsidRPr="00F238F5" w:rsidRDefault="00F238F5" w:rsidP="00D07B7A">
      <w:pPr>
        <w:widowControl w:val="0"/>
        <w:spacing w:after="100" w:afterAutospacing="1" w:line="312" w:lineRule="auto"/>
        <w:ind w:firstLine="709"/>
        <w:contextualSpacing/>
        <w:jc w:val="both"/>
        <w:rPr>
          <w:bCs/>
          <w:iCs/>
          <w:sz w:val="28"/>
          <w:szCs w:val="28"/>
          <w:lang w:bidi="ru-RU"/>
        </w:rPr>
      </w:pPr>
      <w:r w:rsidRPr="00F238F5">
        <w:rPr>
          <w:bCs/>
          <w:iCs/>
          <w:sz w:val="28"/>
          <w:szCs w:val="28"/>
          <w:lang w:bidi="ru-RU"/>
        </w:rPr>
        <w:t>Анализируемые показатели распредел</w:t>
      </w:r>
      <w:r w:rsidR="00722854">
        <w:rPr>
          <w:bCs/>
          <w:iCs/>
          <w:sz w:val="28"/>
          <w:szCs w:val="28"/>
          <w:lang w:bidi="ru-RU"/>
        </w:rPr>
        <w:t>яются</w:t>
      </w:r>
      <w:r w:rsidRPr="00F238F5">
        <w:rPr>
          <w:bCs/>
          <w:iCs/>
          <w:sz w:val="28"/>
          <w:szCs w:val="28"/>
          <w:lang w:bidi="ru-RU"/>
        </w:rPr>
        <w:t xml:space="preserve"> по 4-м группам: </w:t>
      </w:r>
    </w:p>
    <w:p w:rsidR="00F238F5" w:rsidRPr="00F238F5" w:rsidRDefault="00F238F5" w:rsidP="00D07B7A">
      <w:pPr>
        <w:widowControl w:val="0"/>
        <w:spacing w:after="100" w:afterAutospacing="1" w:line="312" w:lineRule="auto"/>
        <w:ind w:firstLine="709"/>
        <w:contextualSpacing/>
        <w:jc w:val="both"/>
        <w:rPr>
          <w:bCs/>
          <w:iCs/>
          <w:sz w:val="28"/>
          <w:szCs w:val="28"/>
          <w:lang w:bidi="ru-RU"/>
        </w:rPr>
      </w:pPr>
      <w:r w:rsidRPr="00F238F5">
        <w:rPr>
          <w:bCs/>
          <w:iCs/>
          <w:sz w:val="28"/>
          <w:szCs w:val="28"/>
          <w:lang w:bidi="ru-RU"/>
        </w:rPr>
        <w:t xml:space="preserve">– показатели масштаба экономики (4 показателя): </w:t>
      </w:r>
    </w:p>
    <w:p w:rsidR="00F238F5" w:rsidRPr="00F238F5" w:rsidRDefault="00F238F5" w:rsidP="00D07B7A">
      <w:pPr>
        <w:widowControl w:val="0"/>
        <w:spacing w:after="100" w:afterAutospacing="1" w:line="312" w:lineRule="auto"/>
        <w:ind w:firstLine="709"/>
        <w:contextualSpacing/>
        <w:jc w:val="both"/>
        <w:rPr>
          <w:bCs/>
          <w:iCs/>
          <w:sz w:val="28"/>
          <w:szCs w:val="28"/>
          <w:lang w:bidi="ru-RU"/>
        </w:rPr>
      </w:pPr>
      <w:r w:rsidRPr="00F238F5">
        <w:rPr>
          <w:bCs/>
          <w:iCs/>
          <w:sz w:val="28"/>
          <w:szCs w:val="28"/>
          <w:lang w:bidi="ru-RU"/>
        </w:rPr>
        <w:t xml:space="preserve">• объем производства товаров и услуг, </w:t>
      </w:r>
    </w:p>
    <w:p w:rsidR="00F238F5" w:rsidRPr="00F238F5" w:rsidRDefault="00F238F5" w:rsidP="00D07B7A">
      <w:pPr>
        <w:widowControl w:val="0"/>
        <w:spacing w:after="100" w:afterAutospacing="1" w:line="312" w:lineRule="auto"/>
        <w:ind w:firstLine="709"/>
        <w:contextualSpacing/>
        <w:jc w:val="both"/>
        <w:rPr>
          <w:bCs/>
          <w:iCs/>
          <w:sz w:val="28"/>
          <w:szCs w:val="28"/>
          <w:lang w:bidi="ru-RU"/>
        </w:rPr>
      </w:pPr>
      <w:r w:rsidRPr="00F238F5">
        <w:rPr>
          <w:bCs/>
          <w:iCs/>
          <w:sz w:val="28"/>
          <w:szCs w:val="28"/>
          <w:lang w:bidi="ru-RU"/>
        </w:rPr>
        <w:t xml:space="preserve">• объем доходов консолидированного бюджета, </w:t>
      </w:r>
    </w:p>
    <w:p w:rsidR="00F238F5" w:rsidRPr="00F238F5" w:rsidRDefault="00F238F5" w:rsidP="00D07B7A">
      <w:pPr>
        <w:widowControl w:val="0"/>
        <w:spacing w:after="100" w:afterAutospacing="1" w:line="312" w:lineRule="auto"/>
        <w:ind w:firstLine="709"/>
        <w:contextualSpacing/>
        <w:jc w:val="both"/>
        <w:rPr>
          <w:bCs/>
          <w:iCs/>
          <w:sz w:val="28"/>
          <w:szCs w:val="28"/>
          <w:lang w:bidi="ru-RU"/>
        </w:rPr>
      </w:pPr>
      <w:r w:rsidRPr="00F238F5">
        <w:rPr>
          <w:bCs/>
          <w:iCs/>
          <w:sz w:val="28"/>
          <w:szCs w:val="28"/>
          <w:lang w:bidi="ru-RU"/>
        </w:rPr>
        <w:t xml:space="preserve">• численность занятых в экономике, </w:t>
      </w:r>
    </w:p>
    <w:p w:rsidR="00F238F5" w:rsidRPr="00F238F5" w:rsidRDefault="00F238F5" w:rsidP="00D07B7A">
      <w:pPr>
        <w:widowControl w:val="0"/>
        <w:spacing w:after="100" w:afterAutospacing="1" w:line="312" w:lineRule="auto"/>
        <w:ind w:firstLine="709"/>
        <w:contextualSpacing/>
        <w:jc w:val="both"/>
        <w:rPr>
          <w:bCs/>
          <w:iCs/>
          <w:sz w:val="28"/>
          <w:szCs w:val="28"/>
          <w:lang w:bidi="ru-RU"/>
        </w:rPr>
      </w:pPr>
      <w:r w:rsidRPr="00F238F5">
        <w:rPr>
          <w:bCs/>
          <w:iCs/>
          <w:sz w:val="28"/>
          <w:szCs w:val="28"/>
          <w:lang w:bidi="ru-RU"/>
        </w:rPr>
        <w:t xml:space="preserve">• оборот розничной торговли; </w:t>
      </w:r>
    </w:p>
    <w:p w:rsidR="00F238F5" w:rsidRPr="00F238F5" w:rsidRDefault="00F238F5" w:rsidP="00D07B7A">
      <w:pPr>
        <w:widowControl w:val="0"/>
        <w:spacing w:after="100" w:afterAutospacing="1" w:line="312" w:lineRule="auto"/>
        <w:ind w:firstLine="709"/>
        <w:contextualSpacing/>
        <w:jc w:val="both"/>
        <w:rPr>
          <w:bCs/>
          <w:iCs/>
          <w:sz w:val="28"/>
          <w:szCs w:val="28"/>
          <w:lang w:bidi="ru-RU"/>
        </w:rPr>
      </w:pPr>
      <w:r w:rsidRPr="00F238F5">
        <w:rPr>
          <w:bCs/>
          <w:iCs/>
          <w:sz w:val="28"/>
          <w:szCs w:val="28"/>
          <w:lang w:bidi="ru-RU"/>
        </w:rPr>
        <w:t xml:space="preserve">– показатели эффективности экономики (4 показателя): </w:t>
      </w:r>
    </w:p>
    <w:p w:rsidR="00F238F5" w:rsidRPr="00F238F5" w:rsidRDefault="00F238F5" w:rsidP="00D07B7A">
      <w:pPr>
        <w:widowControl w:val="0"/>
        <w:spacing w:after="100" w:afterAutospacing="1" w:line="312" w:lineRule="auto"/>
        <w:ind w:firstLine="709"/>
        <w:contextualSpacing/>
        <w:jc w:val="both"/>
        <w:rPr>
          <w:bCs/>
          <w:iCs/>
          <w:sz w:val="28"/>
          <w:szCs w:val="28"/>
          <w:lang w:bidi="ru-RU"/>
        </w:rPr>
      </w:pPr>
      <w:r w:rsidRPr="00F238F5">
        <w:rPr>
          <w:bCs/>
          <w:iCs/>
          <w:sz w:val="28"/>
          <w:szCs w:val="28"/>
          <w:lang w:bidi="ru-RU"/>
        </w:rPr>
        <w:t xml:space="preserve">• объем производства товаров и услуг на одного жителя, </w:t>
      </w:r>
    </w:p>
    <w:p w:rsidR="00F238F5" w:rsidRPr="00F238F5" w:rsidRDefault="00F238F5" w:rsidP="00D07B7A">
      <w:pPr>
        <w:widowControl w:val="0"/>
        <w:spacing w:after="100" w:afterAutospacing="1" w:line="312" w:lineRule="auto"/>
        <w:ind w:firstLine="709"/>
        <w:contextualSpacing/>
        <w:jc w:val="both"/>
        <w:rPr>
          <w:bCs/>
          <w:iCs/>
          <w:sz w:val="28"/>
          <w:szCs w:val="28"/>
          <w:lang w:bidi="ru-RU"/>
        </w:rPr>
      </w:pPr>
      <w:r w:rsidRPr="00F238F5">
        <w:rPr>
          <w:bCs/>
          <w:iCs/>
          <w:sz w:val="28"/>
          <w:szCs w:val="28"/>
          <w:lang w:bidi="ru-RU"/>
        </w:rPr>
        <w:t xml:space="preserve">• инвестиции в основной капитал на одного жителя, </w:t>
      </w:r>
    </w:p>
    <w:p w:rsidR="00F238F5" w:rsidRPr="00F238F5" w:rsidRDefault="00F238F5" w:rsidP="00D07B7A">
      <w:pPr>
        <w:widowControl w:val="0"/>
        <w:spacing w:after="100" w:afterAutospacing="1" w:line="312" w:lineRule="auto"/>
        <w:ind w:firstLine="709"/>
        <w:contextualSpacing/>
        <w:jc w:val="both"/>
        <w:rPr>
          <w:bCs/>
          <w:iCs/>
          <w:sz w:val="28"/>
          <w:szCs w:val="28"/>
          <w:lang w:bidi="ru-RU"/>
        </w:rPr>
      </w:pPr>
      <w:r w:rsidRPr="00F238F5">
        <w:rPr>
          <w:bCs/>
          <w:iCs/>
          <w:sz w:val="28"/>
          <w:szCs w:val="28"/>
          <w:lang w:bidi="ru-RU"/>
        </w:rPr>
        <w:t xml:space="preserve">• доля прибыльных предприятий, </w:t>
      </w:r>
    </w:p>
    <w:p w:rsidR="00F238F5" w:rsidRPr="00F238F5" w:rsidRDefault="00F238F5" w:rsidP="00D07B7A">
      <w:pPr>
        <w:widowControl w:val="0"/>
        <w:spacing w:after="100" w:afterAutospacing="1" w:line="312" w:lineRule="auto"/>
        <w:ind w:firstLine="709"/>
        <w:contextualSpacing/>
        <w:jc w:val="both"/>
        <w:rPr>
          <w:bCs/>
          <w:iCs/>
          <w:sz w:val="28"/>
          <w:szCs w:val="28"/>
          <w:lang w:bidi="ru-RU"/>
        </w:rPr>
      </w:pPr>
      <w:r w:rsidRPr="00F238F5">
        <w:rPr>
          <w:bCs/>
          <w:iCs/>
          <w:sz w:val="28"/>
          <w:szCs w:val="28"/>
          <w:lang w:bidi="ru-RU"/>
        </w:rPr>
        <w:t xml:space="preserve">• отношение задолженности по налогам к объему поступивших налогов и сборов в бюджетную систему РФ; </w:t>
      </w:r>
    </w:p>
    <w:p w:rsidR="00F238F5" w:rsidRPr="00F238F5" w:rsidRDefault="00F238F5" w:rsidP="00D07B7A">
      <w:pPr>
        <w:widowControl w:val="0"/>
        <w:spacing w:after="100" w:afterAutospacing="1" w:line="312" w:lineRule="auto"/>
        <w:ind w:firstLine="709"/>
        <w:contextualSpacing/>
        <w:jc w:val="both"/>
        <w:rPr>
          <w:bCs/>
          <w:iCs/>
          <w:sz w:val="28"/>
          <w:szCs w:val="28"/>
          <w:lang w:bidi="ru-RU"/>
        </w:rPr>
      </w:pPr>
      <w:r w:rsidRPr="00F238F5">
        <w:rPr>
          <w:bCs/>
          <w:iCs/>
          <w:sz w:val="28"/>
          <w:szCs w:val="28"/>
          <w:lang w:bidi="ru-RU"/>
        </w:rPr>
        <w:t xml:space="preserve">– показатели бюджетной сферы (4 показателя): </w:t>
      </w:r>
    </w:p>
    <w:p w:rsidR="00F238F5" w:rsidRPr="00F238F5" w:rsidRDefault="00F238F5" w:rsidP="00D07B7A">
      <w:pPr>
        <w:widowControl w:val="0"/>
        <w:spacing w:after="100" w:afterAutospacing="1" w:line="312" w:lineRule="auto"/>
        <w:ind w:firstLine="709"/>
        <w:contextualSpacing/>
        <w:jc w:val="both"/>
        <w:rPr>
          <w:bCs/>
          <w:iCs/>
          <w:sz w:val="28"/>
          <w:szCs w:val="28"/>
          <w:lang w:bidi="ru-RU"/>
        </w:rPr>
      </w:pPr>
      <w:r w:rsidRPr="00F238F5">
        <w:rPr>
          <w:bCs/>
          <w:iCs/>
          <w:sz w:val="28"/>
          <w:szCs w:val="28"/>
          <w:lang w:bidi="ru-RU"/>
        </w:rPr>
        <w:t xml:space="preserve">• доходы консолидированного бюджета на одного жителя, </w:t>
      </w:r>
    </w:p>
    <w:p w:rsidR="00F238F5" w:rsidRPr="00F238F5" w:rsidRDefault="00F238F5" w:rsidP="00D07B7A">
      <w:pPr>
        <w:widowControl w:val="0"/>
        <w:spacing w:after="100" w:afterAutospacing="1" w:line="312" w:lineRule="auto"/>
        <w:ind w:firstLine="709"/>
        <w:contextualSpacing/>
        <w:jc w:val="both"/>
        <w:rPr>
          <w:bCs/>
          <w:iCs/>
          <w:sz w:val="28"/>
          <w:szCs w:val="28"/>
          <w:lang w:bidi="ru-RU"/>
        </w:rPr>
      </w:pPr>
      <w:r w:rsidRPr="00F238F5">
        <w:rPr>
          <w:bCs/>
          <w:iCs/>
          <w:sz w:val="28"/>
          <w:szCs w:val="28"/>
          <w:lang w:bidi="ru-RU"/>
        </w:rPr>
        <w:t xml:space="preserve">• доля налоговых и неналоговых доходов в суммарном объеме доходов консолидированного бюджета, </w:t>
      </w:r>
    </w:p>
    <w:p w:rsidR="00F238F5" w:rsidRPr="00F238F5" w:rsidRDefault="00F238F5" w:rsidP="00D07B7A">
      <w:pPr>
        <w:widowControl w:val="0"/>
        <w:spacing w:after="100" w:afterAutospacing="1" w:line="312" w:lineRule="auto"/>
        <w:ind w:firstLine="709"/>
        <w:contextualSpacing/>
        <w:jc w:val="both"/>
        <w:rPr>
          <w:bCs/>
          <w:iCs/>
          <w:sz w:val="28"/>
          <w:szCs w:val="28"/>
          <w:lang w:bidi="ru-RU"/>
        </w:rPr>
      </w:pPr>
      <w:r w:rsidRPr="00F238F5">
        <w:rPr>
          <w:bCs/>
          <w:iCs/>
          <w:sz w:val="28"/>
          <w:szCs w:val="28"/>
          <w:lang w:bidi="ru-RU"/>
        </w:rPr>
        <w:t xml:space="preserve">• отношение государственного долга к налоговым и неналоговым доходам консолидированного бюджета, </w:t>
      </w:r>
    </w:p>
    <w:p w:rsidR="00F238F5" w:rsidRPr="00F238F5" w:rsidRDefault="00F238F5" w:rsidP="00D07B7A">
      <w:pPr>
        <w:widowControl w:val="0"/>
        <w:spacing w:after="100" w:afterAutospacing="1" w:line="312" w:lineRule="auto"/>
        <w:ind w:firstLine="709"/>
        <w:contextualSpacing/>
        <w:jc w:val="both"/>
        <w:rPr>
          <w:bCs/>
          <w:iCs/>
          <w:sz w:val="28"/>
          <w:szCs w:val="28"/>
          <w:lang w:bidi="ru-RU"/>
        </w:rPr>
      </w:pPr>
      <w:r w:rsidRPr="00F238F5">
        <w:rPr>
          <w:bCs/>
          <w:iCs/>
          <w:sz w:val="28"/>
          <w:szCs w:val="28"/>
          <w:lang w:bidi="ru-RU"/>
        </w:rPr>
        <w:t xml:space="preserve">• отношение неналоговых и налоговых доходов к расходам консолидированного бюджета; </w:t>
      </w:r>
    </w:p>
    <w:p w:rsidR="00F238F5" w:rsidRPr="00F238F5" w:rsidRDefault="00F238F5" w:rsidP="00D07B7A">
      <w:pPr>
        <w:widowControl w:val="0"/>
        <w:spacing w:after="100" w:afterAutospacing="1" w:line="312" w:lineRule="auto"/>
        <w:ind w:firstLine="709"/>
        <w:contextualSpacing/>
        <w:jc w:val="both"/>
        <w:rPr>
          <w:bCs/>
          <w:iCs/>
          <w:sz w:val="28"/>
          <w:szCs w:val="28"/>
          <w:lang w:bidi="ru-RU"/>
        </w:rPr>
      </w:pPr>
      <w:r w:rsidRPr="00F238F5">
        <w:rPr>
          <w:bCs/>
          <w:iCs/>
          <w:sz w:val="28"/>
          <w:szCs w:val="28"/>
          <w:lang w:bidi="ru-RU"/>
        </w:rPr>
        <w:t xml:space="preserve">– показатели социальной сферы (6 показателей): </w:t>
      </w:r>
    </w:p>
    <w:p w:rsidR="00F238F5" w:rsidRPr="00F238F5" w:rsidRDefault="00F238F5" w:rsidP="00D07B7A">
      <w:pPr>
        <w:widowControl w:val="0"/>
        <w:spacing w:after="100" w:afterAutospacing="1" w:line="312" w:lineRule="auto"/>
        <w:ind w:firstLine="709"/>
        <w:contextualSpacing/>
        <w:jc w:val="both"/>
        <w:rPr>
          <w:bCs/>
          <w:iCs/>
          <w:sz w:val="28"/>
          <w:szCs w:val="28"/>
          <w:lang w:bidi="ru-RU"/>
        </w:rPr>
      </w:pPr>
      <w:r w:rsidRPr="00F238F5">
        <w:rPr>
          <w:bCs/>
          <w:iCs/>
          <w:sz w:val="28"/>
          <w:szCs w:val="28"/>
          <w:lang w:bidi="ru-RU"/>
        </w:rPr>
        <w:t xml:space="preserve">• отношение денежных доходов населения к стоимости фиксированного набора потребительских товаров и услуг, </w:t>
      </w:r>
    </w:p>
    <w:p w:rsidR="00F238F5" w:rsidRPr="00F238F5" w:rsidRDefault="00F238F5" w:rsidP="00D07B7A">
      <w:pPr>
        <w:widowControl w:val="0"/>
        <w:spacing w:after="100" w:afterAutospacing="1" w:line="312" w:lineRule="auto"/>
        <w:ind w:firstLine="709"/>
        <w:contextualSpacing/>
        <w:jc w:val="both"/>
        <w:rPr>
          <w:bCs/>
          <w:iCs/>
          <w:sz w:val="28"/>
          <w:szCs w:val="28"/>
          <w:lang w:bidi="ru-RU"/>
        </w:rPr>
      </w:pPr>
      <w:r w:rsidRPr="00F238F5">
        <w:rPr>
          <w:bCs/>
          <w:iCs/>
          <w:sz w:val="28"/>
          <w:szCs w:val="28"/>
          <w:lang w:bidi="ru-RU"/>
        </w:rPr>
        <w:t xml:space="preserve">• уровень безработицы, </w:t>
      </w:r>
    </w:p>
    <w:p w:rsidR="00F238F5" w:rsidRPr="00F238F5" w:rsidRDefault="00F238F5" w:rsidP="00D07B7A">
      <w:pPr>
        <w:widowControl w:val="0"/>
        <w:spacing w:after="100" w:afterAutospacing="1" w:line="312" w:lineRule="auto"/>
        <w:ind w:firstLine="709"/>
        <w:contextualSpacing/>
        <w:jc w:val="both"/>
        <w:rPr>
          <w:bCs/>
          <w:iCs/>
          <w:sz w:val="28"/>
          <w:szCs w:val="28"/>
          <w:lang w:bidi="ru-RU"/>
        </w:rPr>
      </w:pPr>
      <w:r w:rsidRPr="00F238F5">
        <w:rPr>
          <w:bCs/>
          <w:iCs/>
          <w:sz w:val="28"/>
          <w:szCs w:val="28"/>
          <w:lang w:bidi="ru-RU"/>
        </w:rPr>
        <w:t xml:space="preserve">• ожидаемая продолжительность жизни при рождении, </w:t>
      </w:r>
    </w:p>
    <w:p w:rsidR="00F238F5" w:rsidRPr="00F238F5" w:rsidRDefault="00F238F5" w:rsidP="00D07B7A">
      <w:pPr>
        <w:widowControl w:val="0"/>
        <w:spacing w:after="100" w:afterAutospacing="1" w:line="312" w:lineRule="auto"/>
        <w:ind w:firstLine="709"/>
        <w:contextualSpacing/>
        <w:jc w:val="both"/>
        <w:rPr>
          <w:bCs/>
          <w:iCs/>
          <w:sz w:val="28"/>
          <w:szCs w:val="28"/>
          <w:lang w:bidi="ru-RU"/>
        </w:rPr>
      </w:pPr>
      <w:r w:rsidRPr="00F238F5">
        <w:rPr>
          <w:bCs/>
          <w:iCs/>
          <w:sz w:val="28"/>
          <w:szCs w:val="28"/>
          <w:lang w:bidi="ru-RU"/>
        </w:rPr>
        <w:t xml:space="preserve">• уровень младенческой смертности, </w:t>
      </w:r>
    </w:p>
    <w:p w:rsidR="00F238F5" w:rsidRPr="00F238F5" w:rsidRDefault="00F238F5" w:rsidP="00D07B7A">
      <w:pPr>
        <w:widowControl w:val="0"/>
        <w:spacing w:after="100" w:afterAutospacing="1" w:line="312" w:lineRule="auto"/>
        <w:ind w:firstLine="709"/>
        <w:contextualSpacing/>
        <w:jc w:val="both"/>
        <w:rPr>
          <w:bCs/>
          <w:iCs/>
          <w:sz w:val="28"/>
          <w:szCs w:val="28"/>
          <w:lang w:bidi="ru-RU"/>
        </w:rPr>
      </w:pPr>
      <w:r w:rsidRPr="00F238F5">
        <w:rPr>
          <w:bCs/>
          <w:iCs/>
          <w:sz w:val="28"/>
          <w:szCs w:val="28"/>
          <w:lang w:bidi="ru-RU"/>
        </w:rPr>
        <w:t xml:space="preserve">• смертность населения трудоспособного возраста, </w:t>
      </w:r>
    </w:p>
    <w:p w:rsidR="00F238F5" w:rsidRPr="00F238F5" w:rsidRDefault="00F238F5" w:rsidP="00D07B7A">
      <w:pPr>
        <w:widowControl w:val="0"/>
        <w:spacing w:after="100" w:afterAutospacing="1" w:line="312" w:lineRule="auto"/>
        <w:ind w:firstLine="709"/>
        <w:contextualSpacing/>
        <w:jc w:val="both"/>
        <w:rPr>
          <w:bCs/>
          <w:iCs/>
          <w:sz w:val="28"/>
          <w:szCs w:val="28"/>
          <w:lang w:bidi="ru-RU"/>
        </w:rPr>
      </w:pPr>
      <w:r w:rsidRPr="00F238F5">
        <w:rPr>
          <w:bCs/>
          <w:iCs/>
          <w:sz w:val="28"/>
          <w:szCs w:val="28"/>
          <w:lang w:bidi="ru-RU"/>
        </w:rPr>
        <w:t xml:space="preserve">• доля населения с доходами ниже прожиточного минимума. </w:t>
      </w:r>
    </w:p>
    <w:p w:rsidR="00F238F5" w:rsidRDefault="00F238F5" w:rsidP="00D07B7A">
      <w:pPr>
        <w:widowControl w:val="0"/>
        <w:spacing w:after="100" w:afterAutospacing="1" w:line="312" w:lineRule="auto"/>
        <w:ind w:firstLine="709"/>
        <w:contextualSpacing/>
        <w:jc w:val="both"/>
        <w:rPr>
          <w:bCs/>
          <w:iCs/>
          <w:sz w:val="28"/>
          <w:szCs w:val="28"/>
          <w:lang w:bidi="ru-RU"/>
        </w:rPr>
      </w:pPr>
      <w:r w:rsidRPr="00F238F5">
        <w:rPr>
          <w:bCs/>
          <w:iCs/>
          <w:sz w:val="28"/>
          <w:szCs w:val="28"/>
          <w:lang w:bidi="ru-RU"/>
        </w:rPr>
        <w:t>Для составления рейтинга расчеты проводятся в три этапа. На 1-м этапе определяется рейтинговый балл по каждому из вышеуказанных показателей. Регион с лучшим значением показателя получает 100 баллов, с худшим – 1 балл. На 2-м этапе определяется рейтинговый балл по каждой из 4-х групп показателей. Он рассчитывается как среднее арифметическое всех рейтинговых баллов показателей группы. На 3-м этапе определяется интегральный рейтинговый балл. Он рассчитывается как среднее геометрическое всех рейтинговых баллов по всем 4-м группам показателей. Максимально возможное значение – 100 баллов, минимальное – 1 балл. Рейтинг формируется ежегодно.</w:t>
      </w:r>
    </w:p>
    <w:p w:rsidR="00722854" w:rsidRDefault="00722854" w:rsidP="00D07B7A">
      <w:pPr>
        <w:spacing w:line="312" w:lineRule="auto"/>
        <w:ind w:firstLine="709"/>
        <w:jc w:val="both"/>
        <w:rPr>
          <w:sz w:val="28"/>
          <w:szCs w:val="28"/>
        </w:rPr>
      </w:pPr>
      <w:r>
        <w:rPr>
          <w:sz w:val="28"/>
          <w:szCs w:val="28"/>
        </w:rPr>
        <w:t>3.2.</w:t>
      </w:r>
      <w:r w:rsidRPr="007A3802">
        <w:rPr>
          <w:sz w:val="28"/>
          <w:szCs w:val="28"/>
        </w:rPr>
        <w:t xml:space="preserve"> </w:t>
      </w:r>
      <w:r w:rsidRPr="00722854">
        <w:rPr>
          <w:sz w:val="28"/>
          <w:szCs w:val="28"/>
        </w:rPr>
        <w:t>Экспертами РИА «Рейтинг»</w:t>
      </w:r>
      <w:r w:rsidRPr="00722854">
        <w:rPr>
          <w:vertAlign w:val="superscript"/>
        </w:rPr>
        <w:footnoteReference w:id="6"/>
      </w:r>
      <w:r w:rsidRPr="00722854">
        <w:rPr>
          <w:sz w:val="28"/>
          <w:szCs w:val="28"/>
        </w:rPr>
        <w:t xml:space="preserve"> ежегодно составляется рейтинг субъектов по уровню долговой нагрузки. В качестве критерия используется отношение государственного долга субъекта Российской Федерации к налоговым и неналоговым доходам регионального бюджета за отчетный финансовый год.</w:t>
      </w:r>
    </w:p>
    <w:p w:rsidR="00722854" w:rsidRPr="007A3802" w:rsidRDefault="00722854" w:rsidP="00D07B7A">
      <w:pPr>
        <w:spacing w:line="312" w:lineRule="auto"/>
        <w:ind w:firstLine="709"/>
        <w:jc w:val="both"/>
        <w:rPr>
          <w:sz w:val="28"/>
          <w:szCs w:val="28"/>
        </w:rPr>
      </w:pPr>
      <w:r w:rsidRPr="007A3802">
        <w:rPr>
          <w:sz w:val="28"/>
          <w:szCs w:val="28"/>
        </w:rPr>
        <w:t>Данные проведенных исследований по субъектам Российской Федерации с наиболее высокой долговой нагрузкой в 2017 – 2020 годах среди регионов с долей дотаций из федерального бюджета от 20 до 40% представлены в следующей таблице:</w:t>
      </w:r>
    </w:p>
    <w:p w:rsidR="00722854" w:rsidRPr="00990402" w:rsidRDefault="00722854" w:rsidP="00722854">
      <w:pPr>
        <w:ind w:firstLine="567"/>
        <w:jc w:val="right"/>
      </w:pPr>
      <w:r w:rsidRPr="00990402">
        <w:t>проценты</w:t>
      </w:r>
    </w:p>
    <w:tbl>
      <w:tblPr>
        <w:tblW w:w="95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519"/>
        <w:gridCol w:w="832"/>
        <w:gridCol w:w="833"/>
        <w:gridCol w:w="833"/>
        <w:gridCol w:w="795"/>
        <w:gridCol w:w="870"/>
        <w:gridCol w:w="833"/>
        <w:gridCol w:w="833"/>
        <w:gridCol w:w="833"/>
      </w:tblGrid>
      <w:tr w:rsidR="00722854" w:rsidRPr="00990402" w:rsidTr="004249A6">
        <w:tc>
          <w:tcPr>
            <w:tcW w:w="2911" w:type="dxa"/>
            <w:gridSpan w:val="2"/>
            <w:vMerge w:val="restart"/>
            <w:shd w:val="clear" w:color="auto" w:fill="EAF1DD" w:themeFill="accent3" w:themeFillTint="33"/>
          </w:tcPr>
          <w:p w:rsidR="00722854" w:rsidRPr="00990402" w:rsidRDefault="00722854" w:rsidP="004249A6">
            <w:pPr>
              <w:jc w:val="both"/>
              <w:rPr>
                <w:sz w:val="20"/>
                <w:szCs w:val="20"/>
              </w:rPr>
            </w:pPr>
          </w:p>
        </w:tc>
        <w:tc>
          <w:tcPr>
            <w:tcW w:w="3293" w:type="dxa"/>
            <w:gridSpan w:val="4"/>
            <w:shd w:val="clear" w:color="auto" w:fill="EAF1DD" w:themeFill="accent3" w:themeFillTint="33"/>
            <w:vAlign w:val="center"/>
          </w:tcPr>
          <w:p w:rsidR="00722854" w:rsidRPr="00990402" w:rsidRDefault="00722854" w:rsidP="004249A6">
            <w:pPr>
              <w:jc w:val="center"/>
              <w:rPr>
                <w:sz w:val="20"/>
                <w:szCs w:val="20"/>
              </w:rPr>
            </w:pPr>
            <w:r w:rsidRPr="00990402">
              <w:rPr>
                <w:sz w:val="20"/>
                <w:szCs w:val="20"/>
              </w:rPr>
              <w:t>Долговая нагрузка</w:t>
            </w:r>
          </w:p>
        </w:tc>
        <w:tc>
          <w:tcPr>
            <w:tcW w:w="3369" w:type="dxa"/>
            <w:gridSpan w:val="4"/>
            <w:shd w:val="clear" w:color="auto" w:fill="EAF1DD" w:themeFill="accent3" w:themeFillTint="33"/>
            <w:vAlign w:val="center"/>
          </w:tcPr>
          <w:p w:rsidR="00722854" w:rsidRPr="00990402" w:rsidRDefault="00722854" w:rsidP="004249A6">
            <w:pPr>
              <w:jc w:val="center"/>
              <w:rPr>
                <w:sz w:val="20"/>
                <w:szCs w:val="20"/>
              </w:rPr>
            </w:pPr>
            <w:r w:rsidRPr="00990402">
              <w:rPr>
                <w:sz w:val="20"/>
                <w:szCs w:val="20"/>
              </w:rPr>
              <w:t>Доля рыночных заимствований</w:t>
            </w:r>
            <w:r w:rsidRPr="00990402">
              <w:rPr>
                <w:rStyle w:val="a5"/>
                <w:sz w:val="20"/>
                <w:szCs w:val="20"/>
              </w:rPr>
              <w:footnoteReference w:id="7"/>
            </w:r>
          </w:p>
        </w:tc>
      </w:tr>
      <w:tr w:rsidR="00722854" w:rsidRPr="00990402" w:rsidTr="004249A6">
        <w:tc>
          <w:tcPr>
            <w:tcW w:w="2911" w:type="dxa"/>
            <w:gridSpan w:val="2"/>
            <w:vMerge/>
            <w:shd w:val="clear" w:color="auto" w:fill="EAF1DD" w:themeFill="accent3" w:themeFillTint="33"/>
          </w:tcPr>
          <w:p w:rsidR="00722854" w:rsidRPr="00990402" w:rsidRDefault="00722854" w:rsidP="004249A6">
            <w:pPr>
              <w:jc w:val="both"/>
              <w:rPr>
                <w:sz w:val="20"/>
                <w:szCs w:val="20"/>
              </w:rPr>
            </w:pPr>
          </w:p>
        </w:tc>
        <w:tc>
          <w:tcPr>
            <w:tcW w:w="832" w:type="dxa"/>
            <w:shd w:val="clear" w:color="auto" w:fill="EAF1DD" w:themeFill="accent3" w:themeFillTint="33"/>
          </w:tcPr>
          <w:p w:rsidR="00722854" w:rsidRPr="00990402" w:rsidRDefault="00722854" w:rsidP="004249A6">
            <w:pPr>
              <w:jc w:val="center"/>
              <w:rPr>
                <w:sz w:val="20"/>
                <w:szCs w:val="20"/>
              </w:rPr>
            </w:pPr>
            <w:r w:rsidRPr="00990402">
              <w:rPr>
                <w:sz w:val="20"/>
                <w:szCs w:val="20"/>
              </w:rPr>
              <w:t>2017</w:t>
            </w:r>
          </w:p>
        </w:tc>
        <w:tc>
          <w:tcPr>
            <w:tcW w:w="833" w:type="dxa"/>
            <w:shd w:val="clear" w:color="auto" w:fill="EAF1DD" w:themeFill="accent3" w:themeFillTint="33"/>
          </w:tcPr>
          <w:p w:rsidR="00722854" w:rsidRPr="00990402" w:rsidRDefault="00722854" w:rsidP="004249A6">
            <w:pPr>
              <w:jc w:val="center"/>
              <w:rPr>
                <w:sz w:val="20"/>
                <w:szCs w:val="20"/>
              </w:rPr>
            </w:pPr>
            <w:r w:rsidRPr="00990402">
              <w:rPr>
                <w:sz w:val="20"/>
                <w:szCs w:val="20"/>
              </w:rPr>
              <w:t>2018</w:t>
            </w:r>
          </w:p>
        </w:tc>
        <w:tc>
          <w:tcPr>
            <w:tcW w:w="833" w:type="dxa"/>
            <w:shd w:val="clear" w:color="auto" w:fill="EAF1DD" w:themeFill="accent3" w:themeFillTint="33"/>
          </w:tcPr>
          <w:p w:rsidR="00722854" w:rsidRPr="00990402" w:rsidRDefault="00722854" w:rsidP="004249A6">
            <w:pPr>
              <w:jc w:val="center"/>
              <w:rPr>
                <w:sz w:val="20"/>
                <w:szCs w:val="20"/>
              </w:rPr>
            </w:pPr>
            <w:r w:rsidRPr="00990402">
              <w:rPr>
                <w:sz w:val="20"/>
                <w:szCs w:val="20"/>
              </w:rPr>
              <w:t>2019</w:t>
            </w:r>
          </w:p>
        </w:tc>
        <w:tc>
          <w:tcPr>
            <w:tcW w:w="795" w:type="dxa"/>
            <w:shd w:val="clear" w:color="auto" w:fill="EAF1DD" w:themeFill="accent3" w:themeFillTint="33"/>
          </w:tcPr>
          <w:p w:rsidR="00722854" w:rsidRPr="00990402" w:rsidRDefault="00722854" w:rsidP="004249A6">
            <w:pPr>
              <w:jc w:val="center"/>
              <w:rPr>
                <w:sz w:val="20"/>
                <w:szCs w:val="20"/>
              </w:rPr>
            </w:pPr>
            <w:r w:rsidRPr="00990402">
              <w:rPr>
                <w:sz w:val="20"/>
                <w:szCs w:val="20"/>
              </w:rPr>
              <w:t>2020</w:t>
            </w:r>
          </w:p>
        </w:tc>
        <w:tc>
          <w:tcPr>
            <w:tcW w:w="870" w:type="dxa"/>
            <w:shd w:val="clear" w:color="auto" w:fill="EAF1DD" w:themeFill="accent3" w:themeFillTint="33"/>
          </w:tcPr>
          <w:p w:rsidR="00722854" w:rsidRPr="00990402" w:rsidRDefault="00722854" w:rsidP="004249A6">
            <w:pPr>
              <w:jc w:val="center"/>
              <w:rPr>
                <w:sz w:val="20"/>
                <w:szCs w:val="20"/>
              </w:rPr>
            </w:pPr>
            <w:r w:rsidRPr="00990402">
              <w:rPr>
                <w:sz w:val="20"/>
                <w:szCs w:val="20"/>
              </w:rPr>
              <w:t>2017</w:t>
            </w:r>
          </w:p>
        </w:tc>
        <w:tc>
          <w:tcPr>
            <w:tcW w:w="833" w:type="dxa"/>
            <w:shd w:val="clear" w:color="auto" w:fill="EAF1DD" w:themeFill="accent3" w:themeFillTint="33"/>
          </w:tcPr>
          <w:p w:rsidR="00722854" w:rsidRPr="00990402" w:rsidRDefault="00722854" w:rsidP="004249A6">
            <w:pPr>
              <w:jc w:val="center"/>
              <w:rPr>
                <w:sz w:val="20"/>
                <w:szCs w:val="20"/>
              </w:rPr>
            </w:pPr>
            <w:r w:rsidRPr="00990402">
              <w:rPr>
                <w:sz w:val="20"/>
                <w:szCs w:val="20"/>
              </w:rPr>
              <w:t>2018</w:t>
            </w:r>
          </w:p>
        </w:tc>
        <w:tc>
          <w:tcPr>
            <w:tcW w:w="833" w:type="dxa"/>
            <w:shd w:val="clear" w:color="auto" w:fill="EAF1DD" w:themeFill="accent3" w:themeFillTint="33"/>
          </w:tcPr>
          <w:p w:rsidR="00722854" w:rsidRPr="00990402" w:rsidRDefault="00722854" w:rsidP="004249A6">
            <w:pPr>
              <w:jc w:val="center"/>
              <w:rPr>
                <w:sz w:val="20"/>
                <w:szCs w:val="20"/>
              </w:rPr>
            </w:pPr>
            <w:r w:rsidRPr="00990402">
              <w:rPr>
                <w:sz w:val="20"/>
                <w:szCs w:val="20"/>
              </w:rPr>
              <w:t>2019</w:t>
            </w:r>
          </w:p>
        </w:tc>
        <w:tc>
          <w:tcPr>
            <w:tcW w:w="833" w:type="dxa"/>
            <w:shd w:val="clear" w:color="auto" w:fill="EAF1DD" w:themeFill="accent3" w:themeFillTint="33"/>
          </w:tcPr>
          <w:p w:rsidR="00722854" w:rsidRPr="00990402" w:rsidRDefault="00722854" w:rsidP="004249A6">
            <w:pPr>
              <w:jc w:val="center"/>
              <w:rPr>
                <w:sz w:val="20"/>
                <w:szCs w:val="20"/>
              </w:rPr>
            </w:pPr>
            <w:r w:rsidRPr="00990402">
              <w:rPr>
                <w:sz w:val="20"/>
                <w:szCs w:val="20"/>
              </w:rPr>
              <w:t>2020</w:t>
            </w:r>
          </w:p>
        </w:tc>
      </w:tr>
      <w:tr w:rsidR="00722854" w:rsidRPr="00990402" w:rsidTr="004249A6">
        <w:tc>
          <w:tcPr>
            <w:tcW w:w="392" w:type="dxa"/>
            <w:shd w:val="clear" w:color="auto" w:fill="auto"/>
            <w:vAlign w:val="center"/>
          </w:tcPr>
          <w:p w:rsidR="00722854" w:rsidRPr="00990402" w:rsidRDefault="00722854" w:rsidP="004249A6">
            <w:pPr>
              <w:rPr>
                <w:sz w:val="20"/>
                <w:szCs w:val="20"/>
              </w:rPr>
            </w:pPr>
            <w:r w:rsidRPr="00990402">
              <w:rPr>
                <w:sz w:val="20"/>
                <w:szCs w:val="20"/>
              </w:rPr>
              <w:t>1</w:t>
            </w:r>
          </w:p>
        </w:tc>
        <w:tc>
          <w:tcPr>
            <w:tcW w:w="2519" w:type="dxa"/>
            <w:shd w:val="clear" w:color="auto" w:fill="auto"/>
          </w:tcPr>
          <w:p w:rsidR="00722854" w:rsidRPr="00990402" w:rsidRDefault="00722854" w:rsidP="004249A6">
            <w:pPr>
              <w:jc w:val="both"/>
              <w:rPr>
                <w:sz w:val="20"/>
                <w:szCs w:val="20"/>
              </w:rPr>
            </w:pPr>
            <w:r w:rsidRPr="00990402">
              <w:rPr>
                <w:sz w:val="20"/>
                <w:szCs w:val="20"/>
              </w:rPr>
              <w:t>Кабардино-Балкарская Республика</w:t>
            </w:r>
          </w:p>
        </w:tc>
        <w:tc>
          <w:tcPr>
            <w:tcW w:w="832" w:type="dxa"/>
            <w:shd w:val="clear" w:color="auto" w:fill="auto"/>
            <w:vAlign w:val="center"/>
          </w:tcPr>
          <w:p w:rsidR="00722854" w:rsidRPr="00990402" w:rsidRDefault="00722854" w:rsidP="004249A6">
            <w:pPr>
              <w:jc w:val="center"/>
              <w:rPr>
                <w:sz w:val="20"/>
                <w:szCs w:val="20"/>
              </w:rPr>
            </w:pPr>
            <w:r w:rsidRPr="00990402">
              <w:rPr>
                <w:sz w:val="20"/>
                <w:szCs w:val="20"/>
              </w:rPr>
              <w:t>124,1</w:t>
            </w:r>
          </w:p>
        </w:tc>
        <w:tc>
          <w:tcPr>
            <w:tcW w:w="833" w:type="dxa"/>
            <w:shd w:val="clear" w:color="auto" w:fill="auto"/>
            <w:vAlign w:val="center"/>
          </w:tcPr>
          <w:p w:rsidR="00722854" w:rsidRPr="00990402" w:rsidRDefault="00722854" w:rsidP="004249A6">
            <w:pPr>
              <w:jc w:val="center"/>
              <w:rPr>
                <w:sz w:val="20"/>
                <w:szCs w:val="20"/>
              </w:rPr>
            </w:pPr>
            <w:r w:rsidRPr="00990402">
              <w:rPr>
                <w:sz w:val="20"/>
                <w:szCs w:val="20"/>
              </w:rPr>
              <w:t>86,3</w:t>
            </w:r>
          </w:p>
        </w:tc>
        <w:tc>
          <w:tcPr>
            <w:tcW w:w="833" w:type="dxa"/>
            <w:shd w:val="clear" w:color="auto" w:fill="auto"/>
            <w:vAlign w:val="center"/>
          </w:tcPr>
          <w:p w:rsidR="00722854" w:rsidRPr="00990402" w:rsidRDefault="00722854" w:rsidP="004249A6">
            <w:pPr>
              <w:jc w:val="center"/>
              <w:rPr>
                <w:sz w:val="20"/>
                <w:szCs w:val="20"/>
              </w:rPr>
            </w:pPr>
            <w:r w:rsidRPr="00990402">
              <w:rPr>
                <w:sz w:val="20"/>
                <w:szCs w:val="20"/>
              </w:rPr>
              <w:t>66,8</w:t>
            </w:r>
          </w:p>
        </w:tc>
        <w:tc>
          <w:tcPr>
            <w:tcW w:w="795" w:type="dxa"/>
            <w:shd w:val="clear" w:color="auto" w:fill="auto"/>
            <w:vAlign w:val="center"/>
          </w:tcPr>
          <w:p w:rsidR="00722854" w:rsidRPr="00990402" w:rsidRDefault="00722854" w:rsidP="004249A6">
            <w:pPr>
              <w:jc w:val="center"/>
              <w:rPr>
                <w:sz w:val="20"/>
                <w:szCs w:val="20"/>
              </w:rPr>
            </w:pPr>
            <w:r w:rsidRPr="00990402">
              <w:rPr>
                <w:sz w:val="20"/>
                <w:szCs w:val="20"/>
              </w:rPr>
              <w:t>60,6</w:t>
            </w:r>
          </w:p>
        </w:tc>
        <w:tc>
          <w:tcPr>
            <w:tcW w:w="870" w:type="dxa"/>
            <w:shd w:val="clear" w:color="auto" w:fill="auto"/>
            <w:vAlign w:val="center"/>
          </w:tcPr>
          <w:p w:rsidR="00722854" w:rsidRPr="00990402" w:rsidRDefault="00722854" w:rsidP="004249A6">
            <w:pPr>
              <w:jc w:val="center"/>
              <w:rPr>
                <w:sz w:val="20"/>
                <w:szCs w:val="20"/>
              </w:rPr>
            </w:pPr>
            <w:r w:rsidRPr="00990402">
              <w:rPr>
                <w:sz w:val="20"/>
                <w:szCs w:val="20"/>
              </w:rPr>
              <w:t>47</w:t>
            </w:r>
          </w:p>
        </w:tc>
        <w:tc>
          <w:tcPr>
            <w:tcW w:w="833" w:type="dxa"/>
            <w:shd w:val="clear" w:color="auto" w:fill="auto"/>
            <w:vAlign w:val="center"/>
          </w:tcPr>
          <w:p w:rsidR="00722854" w:rsidRPr="00990402" w:rsidRDefault="00722854" w:rsidP="004249A6">
            <w:pPr>
              <w:jc w:val="center"/>
              <w:rPr>
                <w:sz w:val="20"/>
                <w:szCs w:val="20"/>
              </w:rPr>
            </w:pPr>
            <w:r w:rsidRPr="00990402">
              <w:rPr>
                <w:sz w:val="20"/>
                <w:szCs w:val="20"/>
              </w:rPr>
              <w:t>51</w:t>
            </w:r>
          </w:p>
        </w:tc>
        <w:tc>
          <w:tcPr>
            <w:tcW w:w="833" w:type="dxa"/>
            <w:shd w:val="clear" w:color="auto" w:fill="auto"/>
            <w:vAlign w:val="center"/>
          </w:tcPr>
          <w:p w:rsidR="00722854" w:rsidRPr="00990402" w:rsidRDefault="00722854" w:rsidP="004249A6">
            <w:pPr>
              <w:jc w:val="center"/>
              <w:rPr>
                <w:sz w:val="20"/>
                <w:szCs w:val="20"/>
              </w:rPr>
            </w:pPr>
            <w:r w:rsidRPr="00990402">
              <w:rPr>
                <w:sz w:val="20"/>
                <w:szCs w:val="20"/>
              </w:rPr>
              <w:t>26</w:t>
            </w:r>
          </w:p>
        </w:tc>
        <w:tc>
          <w:tcPr>
            <w:tcW w:w="833" w:type="dxa"/>
            <w:shd w:val="clear" w:color="auto" w:fill="auto"/>
            <w:vAlign w:val="center"/>
          </w:tcPr>
          <w:p w:rsidR="00722854" w:rsidRPr="00990402" w:rsidRDefault="00722854" w:rsidP="004249A6">
            <w:pPr>
              <w:jc w:val="center"/>
              <w:rPr>
                <w:sz w:val="20"/>
                <w:szCs w:val="20"/>
              </w:rPr>
            </w:pPr>
            <w:r w:rsidRPr="00990402">
              <w:rPr>
                <w:sz w:val="20"/>
                <w:szCs w:val="20"/>
              </w:rPr>
              <w:t>0</w:t>
            </w:r>
          </w:p>
        </w:tc>
      </w:tr>
      <w:tr w:rsidR="00722854" w:rsidRPr="00990402" w:rsidTr="004249A6">
        <w:tc>
          <w:tcPr>
            <w:tcW w:w="392" w:type="dxa"/>
            <w:shd w:val="clear" w:color="auto" w:fill="EAF1DD" w:themeFill="accent3" w:themeFillTint="33"/>
            <w:vAlign w:val="center"/>
          </w:tcPr>
          <w:p w:rsidR="00722854" w:rsidRPr="00990402" w:rsidRDefault="00722854" w:rsidP="004249A6">
            <w:pPr>
              <w:rPr>
                <w:sz w:val="20"/>
                <w:szCs w:val="20"/>
              </w:rPr>
            </w:pPr>
            <w:r w:rsidRPr="00990402">
              <w:rPr>
                <w:sz w:val="20"/>
                <w:szCs w:val="20"/>
              </w:rPr>
              <w:t>2</w:t>
            </w:r>
          </w:p>
        </w:tc>
        <w:tc>
          <w:tcPr>
            <w:tcW w:w="2519" w:type="dxa"/>
            <w:shd w:val="clear" w:color="auto" w:fill="EAF1DD" w:themeFill="accent3" w:themeFillTint="33"/>
          </w:tcPr>
          <w:p w:rsidR="00722854" w:rsidRPr="00990402" w:rsidRDefault="00722854" w:rsidP="004249A6">
            <w:pPr>
              <w:jc w:val="both"/>
              <w:rPr>
                <w:sz w:val="20"/>
                <w:szCs w:val="20"/>
              </w:rPr>
            </w:pPr>
            <w:r w:rsidRPr="00990402">
              <w:rPr>
                <w:sz w:val="20"/>
                <w:szCs w:val="20"/>
              </w:rPr>
              <w:t>Республика Карелия</w:t>
            </w:r>
          </w:p>
        </w:tc>
        <w:tc>
          <w:tcPr>
            <w:tcW w:w="832" w:type="dxa"/>
            <w:shd w:val="clear" w:color="auto" w:fill="EAF1DD" w:themeFill="accent3" w:themeFillTint="33"/>
            <w:vAlign w:val="center"/>
          </w:tcPr>
          <w:p w:rsidR="00722854" w:rsidRPr="00990402" w:rsidRDefault="00722854" w:rsidP="004249A6">
            <w:pPr>
              <w:jc w:val="center"/>
              <w:rPr>
                <w:sz w:val="20"/>
                <w:szCs w:val="20"/>
              </w:rPr>
            </w:pPr>
            <w:r w:rsidRPr="00990402">
              <w:rPr>
                <w:sz w:val="20"/>
                <w:szCs w:val="20"/>
              </w:rPr>
              <w:t>124,1</w:t>
            </w:r>
          </w:p>
        </w:tc>
        <w:tc>
          <w:tcPr>
            <w:tcW w:w="833" w:type="dxa"/>
            <w:shd w:val="clear" w:color="auto" w:fill="EAF1DD" w:themeFill="accent3" w:themeFillTint="33"/>
            <w:vAlign w:val="center"/>
          </w:tcPr>
          <w:p w:rsidR="00722854" w:rsidRPr="00990402" w:rsidRDefault="00722854" w:rsidP="004249A6">
            <w:pPr>
              <w:jc w:val="center"/>
              <w:rPr>
                <w:sz w:val="20"/>
                <w:szCs w:val="20"/>
              </w:rPr>
            </w:pPr>
            <w:r w:rsidRPr="00990402">
              <w:rPr>
                <w:sz w:val="20"/>
                <w:szCs w:val="20"/>
              </w:rPr>
              <w:t>77,9</w:t>
            </w:r>
          </w:p>
        </w:tc>
        <w:tc>
          <w:tcPr>
            <w:tcW w:w="833" w:type="dxa"/>
            <w:shd w:val="clear" w:color="auto" w:fill="EAF1DD" w:themeFill="accent3" w:themeFillTint="33"/>
            <w:vAlign w:val="center"/>
          </w:tcPr>
          <w:p w:rsidR="00722854" w:rsidRPr="00990402" w:rsidRDefault="00722854" w:rsidP="004249A6">
            <w:pPr>
              <w:jc w:val="center"/>
              <w:rPr>
                <w:sz w:val="20"/>
                <w:szCs w:val="20"/>
              </w:rPr>
            </w:pPr>
            <w:r w:rsidRPr="00990402">
              <w:rPr>
                <w:sz w:val="20"/>
                <w:szCs w:val="20"/>
              </w:rPr>
              <w:t>68,2</w:t>
            </w:r>
          </w:p>
        </w:tc>
        <w:tc>
          <w:tcPr>
            <w:tcW w:w="795" w:type="dxa"/>
            <w:shd w:val="clear" w:color="auto" w:fill="EAF1DD" w:themeFill="accent3" w:themeFillTint="33"/>
            <w:vAlign w:val="center"/>
          </w:tcPr>
          <w:p w:rsidR="00722854" w:rsidRPr="00990402" w:rsidRDefault="00722854" w:rsidP="004249A6">
            <w:pPr>
              <w:jc w:val="center"/>
              <w:rPr>
                <w:sz w:val="20"/>
                <w:szCs w:val="20"/>
              </w:rPr>
            </w:pPr>
            <w:r w:rsidRPr="00990402">
              <w:rPr>
                <w:sz w:val="20"/>
                <w:szCs w:val="20"/>
              </w:rPr>
              <w:t>88,1</w:t>
            </w:r>
          </w:p>
        </w:tc>
        <w:tc>
          <w:tcPr>
            <w:tcW w:w="870" w:type="dxa"/>
            <w:shd w:val="clear" w:color="auto" w:fill="EAF1DD" w:themeFill="accent3" w:themeFillTint="33"/>
            <w:vAlign w:val="center"/>
          </w:tcPr>
          <w:p w:rsidR="00722854" w:rsidRPr="00990402" w:rsidRDefault="00722854" w:rsidP="004249A6">
            <w:pPr>
              <w:jc w:val="center"/>
              <w:rPr>
                <w:sz w:val="20"/>
                <w:szCs w:val="20"/>
              </w:rPr>
            </w:pPr>
            <w:r w:rsidRPr="00990402">
              <w:rPr>
                <w:sz w:val="20"/>
                <w:szCs w:val="20"/>
              </w:rPr>
              <w:t>51</w:t>
            </w:r>
          </w:p>
        </w:tc>
        <w:tc>
          <w:tcPr>
            <w:tcW w:w="833" w:type="dxa"/>
            <w:shd w:val="clear" w:color="auto" w:fill="EAF1DD" w:themeFill="accent3" w:themeFillTint="33"/>
            <w:vAlign w:val="center"/>
          </w:tcPr>
          <w:p w:rsidR="00722854" w:rsidRPr="00990402" w:rsidRDefault="00722854" w:rsidP="004249A6">
            <w:pPr>
              <w:jc w:val="center"/>
              <w:rPr>
                <w:sz w:val="20"/>
                <w:szCs w:val="20"/>
              </w:rPr>
            </w:pPr>
            <w:r w:rsidRPr="00990402">
              <w:rPr>
                <w:sz w:val="20"/>
                <w:szCs w:val="20"/>
              </w:rPr>
              <w:t>56</w:t>
            </w:r>
          </w:p>
        </w:tc>
        <w:tc>
          <w:tcPr>
            <w:tcW w:w="833" w:type="dxa"/>
            <w:shd w:val="clear" w:color="auto" w:fill="EAF1DD" w:themeFill="accent3" w:themeFillTint="33"/>
            <w:vAlign w:val="center"/>
          </w:tcPr>
          <w:p w:rsidR="00722854" w:rsidRPr="00990402" w:rsidRDefault="00722854" w:rsidP="004249A6">
            <w:pPr>
              <w:jc w:val="center"/>
              <w:rPr>
                <w:sz w:val="20"/>
                <w:szCs w:val="20"/>
              </w:rPr>
            </w:pPr>
            <w:r w:rsidRPr="00990402">
              <w:rPr>
                <w:sz w:val="20"/>
                <w:szCs w:val="20"/>
              </w:rPr>
              <w:t>55</w:t>
            </w:r>
          </w:p>
        </w:tc>
        <w:tc>
          <w:tcPr>
            <w:tcW w:w="833" w:type="dxa"/>
            <w:shd w:val="clear" w:color="auto" w:fill="EAF1DD" w:themeFill="accent3" w:themeFillTint="33"/>
            <w:vAlign w:val="center"/>
          </w:tcPr>
          <w:p w:rsidR="00722854" w:rsidRPr="00990402" w:rsidRDefault="00722854" w:rsidP="004249A6">
            <w:pPr>
              <w:jc w:val="center"/>
              <w:rPr>
                <w:sz w:val="20"/>
                <w:szCs w:val="20"/>
              </w:rPr>
            </w:pPr>
            <w:r w:rsidRPr="00990402">
              <w:rPr>
                <w:sz w:val="20"/>
                <w:szCs w:val="20"/>
              </w:rPr>
              <w:t>54</w:t>
            </w:r>
          </w:p>
        </w:tc>
      </w:tr>
      <w:tr w:rsidR="00722854" w:rsidRPr="00990402" w:rsidTr="004249A6">
        <w:tc>
          <w:tcPr>
            <w:tcW w:w="392" w:type="dxa"/>
            <w:shd w:val="clear" w:color="auto" w:fill="auto"/>
            <w:vAlign w:val="center"/>
          </w:tcPr>
          <w:p w:rsidR="00722854" w:rsidRPr="00990402" w:rsidRDefault="00722854" w:rsidP="004249A6">
            <w:pPr>
              <w:rPr>
                <w:sz w:val="20"/>
                <w:szCs w:val="20"/>
              </w:rPr>
            </w:pPr>
            <w:r w:rsidRPr="00990402">
              <w:rPr>
                <w:sz w:val="20"/>
                <w:szCs w:val="20"/>
              </w:rPr>
              <w:t>3</w:t>
            </w:r>
          </w:p>
        </w:tc>
        <w:tc>
          <w:tcPr>
            <w:tcW w:w="2519" w:type="dxa"/>
            <w:shd w:val="clear" w:color="auto" w:fill="auto"/>
          </w:tcPr>
          <w:p w:rsidR="00722854" w:rsidRPr="00990402" w:rsidRDefault="00722854" w:rsidP="004249A6">
            <w:pPr>
              <w:jc w:val="both"/>
              <w:rPr>
                <w:sz w:val="20"/>
                <w:szCs w:val="20"/>
              </w:rPr>
            </w:pPr>
            <w:r w:rsidRPr="00990402">
              <w:rPr>
                <w:sz w:val="20"/>
                <w:szCs w:val="20"/>
              </w:rPr>
              <w:t>Чукотский АО</w:t>
            </w:r>
          </w:p>
        </w:tc>
        <w:tc>
          <w:tcPr>
            <w:tcW w:w="832" w:type="dxa"/>
            <w:shd w:val="clear" w:color="auto" w:fill="auto"/>
            <w:vAlign w:val="center"/>
          </w:tcPr>
          <w:p w:rsidR="00722854" w:rsidRPr="00990402" w:rsidRDefault="00722854" w:rsidP="004249A6">
            <w:pPr>
              <w:jc w:val="center"/>
              <w:rPr>
                <w:sz w:val="20"/>
                <w:szCs w:val="20"/>
              </w:rPr>
            </w:pPr>
            <w:r w:rsidRPr="00990402">
              <w:rPr>
                <w:sz w:val="20"/>
                <w:szCs w:val="20"/>
              </w:rPr>
              <w:t>96,7</w:t>
            </w:r>
          </w:p>
        </w:tc>
        <w:tc>
          <w:tcPr>
            <w:tcW w:w="833" w:type="dxa"/>
            <w:shd w:val="clear" w:color="auto" w:fill="auto"/>
            <w:vAlign w:val="center"/>
          </w:tcPr>
          <w:p w:rsidR="00722854" w:rsidRPr="00990402" w:rsidRDefault="00722854" w:rsidP="004249A6">
            <w:pPr>
              <w:jc w:val="center"/>
              <w:rPr>
                <w:sz w:val="20"/>
                <w:szCs w:val="20"/>
              </w:rPr>
            </w:pPr>
            <w:r w:rsidRPr="00990402">
              <w:rPr>
                <w:sz w:val="20"/>
                <w:szCs w:val="20"/>
              </w:rPr>
              <w:t>90,3</w:t>
            </w:r>
          </w:p>
        </w:tc>
        <w:tc>
          <w:tcPr>
            <w:tcW w:w="833" w:type="dxa"/>
            <w:shd w:val="clear" w:color="auto" w:fill="auto"/>
            <w:vAlign w:val="center"/>
          </w:tcPr>
          <w:p w:rsidR="00722854" w:rsidRPr="00990402" w:rsidRDefault="00722854" w:rsidP="004249A6">
            <w:pPr>
              <w:jc w:val="center"/>
              <w:rPr>
                <w:sz w:val="20"/>
                <w:szCs w:val="20"/>
              </w:rPr>
            </w:pPr>
            <w:r w:rsidRPr="00990402">
              <w:rPr>
                <w:sz w:val="20"/>
                <w:szCs w:val="20"/>
              </w:rPr>
              <w:t>69</w:t>
            </w:r>
          </w:p>
        </w:tc>
        <w:tc>
          <w:tcPr>
            <w:tcW w:w="795" w:type="dxa"/>
            <w:shd w:val="clear" w:color="auto" w:fill="auto"/>
            <w:vAlign w:val="center"/>
          </w:tcPr>
          <w:p w:rsidR="00722854" w:rsidRPr="00990402" w:rsidRDefault="00722854" w:rsidP="004249A6">
            <w:pPr>
              <w:jc w:val="center"/>
              <w:rPr>
                <w:sz w:val="20"/>
                <w:szCs w:val="20"/>
              </w:rPr>
            </w:pPr>
            <w:r w:rsidRPr="00990402">
              <w:rPr>
                <w:sz w:val="20"/>
                <w:szCs w:val="20"/>
              </w:rPr>
              <w:t>45,4</w:t>
            </w:r>
          </w:p>
        </w:tc>
        <w:tc>
          <w:tcPr>
            <w:tcW w:w="870" w:type="dxa"/>
            <w:shd w:val="clear" w:color="auto" w:fill="auto"/>
            <w:vAlign w:val="center"/>
          </w:tcPr>
          <w:p w:rsidR="00722854" w:rsidRPr="00990402" w:rsidRDefault="00722854" w:rsidP="004249A6">
            <w:pPr>
              <w:jc w:val="center"/>
              <w:rPr>
                <w:sz w:val="20"/>
                <w:szCs w:val="20"/>
              </w:rPr>
            </w:pPr>
            <w:r w:rsidRPr="00990402">
              <w:rPr>
                <w:sz w:val="20"/>
                <w:szCs w:val="20"/>
              </w:rPr>
              <w:t>0</w:t>
            </w:r>
          </w:p>
        </w:tc>
        <w:tc>
          <w:tcPr>
            <w:tcW w:w="833" w:type="dxa"/>
            <w:shd w:val="clear" w:color="auto" w:fill="auto"/>
            <w:vAlign w:val="center"/>
          </w:tcPr>
          <w:p w:rsidR="00722854" w:rsidRPr="00990402" w:rsidRDefault="00722854" w:rsidP="004249A6">
            <w:pPr>
              <w:jc w:val="center"/>
              <w:rPr>
                <w:sz w:val="20"/>
                <w:szCs w:val="20"/>
              </w:rPr>
            </w:pPr>
            <w:r w:rsidRPr="00990402">
              <w:rPr>
                <w:sz w:val="20"/>
                <w:szCs w:val="20"/>
              </w:rPr>
              <w:t>0</w:t>
            </w:r>
          </w:p>
        </w:tc>
        <w:tc>
          <w:tcPr>
            <w:tcW w:w="833" w:type="dxa"/>
            <w:shd w:val="clear" w:color="auto" w:fill="auto"/>
            <w:vAlign w:val="center"/>
          </w:tcPr>
          <w:p w:rsidR="00722854" w:rsidRPr="00990402" w:rsidRDefault="00722854" w:rsidP="004249A6">
            <w:pPr>
              <w:jc w:val="center"/>
              <w:rPr>
                <w:sz w:val="20"/>
                <w:szCs w:val="20"/>
              </w:rPr>
            </w:pPr>
            <w:r w:rsidRPr="00990402">
              <w:rPr>
                <w:sz w:val="20"/>
                <w:szCs w:val="20"/>
              </w:rPr>
              <w:t>0</w:t>
            </w:r>
          </w:p>
        </w:tc>
        <w:tc>
          <w:tcPr>
            <w:tcW w:w="833" w:type="dxa"/>
            <w:shd w:val="clear" w:color="auto" w:fill="auto"/>
            <w:vAlign w:val="center"/>
          </w:tcPr>
          <w:p w:rsidR="00722854" w:rsidRPr="00990402" w:rsidRDefault="00722854" w:rsidP="004249A6">
            <w:pPr>
              <w:jc w:val="center"/>
              <w:rPr>
                <w:sz w:val="20"/>
                <w:szCs w:val="20"/>
              </w:rPr>
            </w:pPr>
            <w:r w:rsidRPr="00990402">
              <w:rPr>
                <w:sz w:val="20"/>
                <w:szCs w:val="20"/>
              </w:rPr>
              <w:t>0</w:t>
            </w:r>
          </w:p>
        </w:tc>
      </w:tr>
      <w:tr w:rsidR="00722854" w:rsidRPr="00990402" w:rsidTr="004249A6">
        <w:tc>
          <w:tcPr>
            <w:tcW w:w="392" w:type="dxa"/>
            <w:shd w:val="clear" w:color="auto" w:fill="EAF1DD" w:themeFill="accent3" w:themeFillTint="33"/>
            <w:vAlign w:val="center"/>
          </w:tcPr>
          <w:p w:rsidR="00722854" w:rsidRPr="00990402" w:rsidRDefault="00722854" w:rsidP="004249A6">
            <w:pPr>
              <w:rPr>
                <w:sz w:val="20"/>
                <w:szCs w:val="20"/>
              </w:rPr>
            </w:pPr>
            <w:r w:rsidRPr="00990402">
              <w:rPr>
                <w:sz w:val="20"/>
                <w:szCs w:val="20"/>
              </w:rPr>
              <w:t>4</w:t>
            </w:r>
          </w:p>
        </w:tc>
        <w:tc>
          <w:tcPr>
            <w:tcW w:w="2519" w:type="dxa"/>
            <w:shd w:val="clear" w:color="auto" w:fill="EAF1DD" w:themeFill="accent3" w:themeFillTint="33"/>
          </w:tcPr>
          <w:p w:rsidR="00722854" w:rsidRPr="00990402" w:rsidRDefault="00722854" w:rsidP="004249A6">
            <w:pPr>
              <w:jc w:val="both"/>
              <w:rPr>
                <w:sz w:val="20"/>
                <w:szCs w:val="20"/>
              </w:rPr>
            </w:pPr>
            <w:r w:rsidRPr="00990402">
              <w:rPr>
                <w:sz w:val="20"/>
                <w:szCs w:val="20"/>
              </w:rPr>
              <w:t>Еврейская автономная область</w:t>
            </w:r>
          </w:p>
        </w:tc>
        <w:tc>
          <w:tcPr>
            <w:tcW w:w="832" w:type="dxa"/>
            <w:shd w:val="clear" w:color="auto" w:fill="EAF1DD" w:themeFill="accent3" w:themeFillTint="33"/>
            <w:vAlign w:val="center"/>
          </w:tcPr>
          <w:p w:rsidR="00722854" w:rsidRPr="00990402" w:rsidRDefault="00722854" w:rsidP="004249A6">
            <w:pPr>
              <w:jc w:val="center"/>
              <w:rPr>
                <w:sz w:val="20"/>
                <w:szCs w:val="20"/>
              </w:rPr>
            </w:pPr>
            <w:r w:rsidRPr="00990402">
              <w:rPr>
                <w:sz w:val="20"/>
                <w:szCs w:val="20"/>
              </w:rPr>
              <w:t>93,5</w:t>
            </w:r>
          </w:p>
        </w:tc>
        <w:tc>
          <w:tcPr>
            <w:tcW w:w="833" w:type="dxa"/>
            <w:shd w:val="clear" w:color="auto" w:fill="EAF1DD" w:themeFill="accent3" w:themeFillTint="33"/>
            <w:vAlign w:val="center"/>
          </w:tcPr>
          <w:p w:rsidR="00722854" w:rsidRPr="00990402" w:rsidRDefault="00722854" w:rsidP="004249A6">
            <w:pPr>
              <w:jc w:val="center"/>
              <w:rPr>
                <w:sz w:val="20"/>
                <w:szCs w:val="20"/>
              </w:rPr>
            </w:pPr>
            <w:r w:rsidRPr="00990402">
              <w:rPr>
                <w:sz w:val="20"/>
                <w:szCs w:val="20"/>
              </w:rPr>
              <w:t>89,8</w:t>
            </w:r>
          </w:p>
        </w:tc>
        <w:tc>
          <w:tcPr>
            <w:tcW w:w="833" w:type="dxa"/>
            <w:shd w:val="clear" w:color="auto" w:fill="EAF1DD" w:themeFill="accent3" w:themeFillTint="33"/>
            <w:vAlign w:val="center"/>
          </w:tcPr>
          <w:p w:rsidR="00722854" w:rsidRPr="00990402" w:rsidRDefault="00722854" w:rsidP="004249A6">
            <w:pPr>
              <w:jc w:val="center"/>
              <w:rPr>
                <w:sz w:val="20"/>
                <w:szCs w:val="20"/>
              </w:rPr>
            </w:pPr>
            <w:r w:rsidRPr="00990402">
              <w:rPr>
                <w:sz w:val="20"/>
                <w:szCs w:val="20"/>
              </w:rPr>
              <w:t>85</w:t>
            </w:r>
          </w:p>
        </w:tc>
        <w:tc>
          <w:tcPr>
            <w:tcW w:w="795" w:type="dxa"/>
            <w:shd w:val="clear" w:color="auto" w:fill="EAF1DD" w:themeFill="accent3" w:themeFillTint="33"/>
            <w:vAlign w:val="center"/>
          </w:tcPr>
          <w:p w:rsidR="00722854" w:rsidRPr="00990402" w:rsidRDefault="00722854" w:rsidP="004249A6">
            <w:pPr>
              <w:jc w:val="center"/>
              <w:rPr>
                <w:sz w:val="20"/>
                <w:szCs w:val="20"/>
              </w:rPr>
            </w:pPr>
            <w:r w:rsidRPr="00990402">
              <w:rPr>
                <w:sz w:val="20"/>
                <w:szCs w:val="20"/>
              </w:rPr>
              <w:t>78,6</w:t>
            </w:r>
          </w:p>
        </w:tc>
        <w:tc>
          <w:tcPr>
            <w:tcW w:w="870" w:type="dxa"/>
            <w:shd w:val="clear" w:color="auto" w:fill="EAF1DD" w:themeFill="accent3" w:themeFillTint="33"/>
            <w:vAlign w:val="center"/>
          </w:tcPr>
          <w:p w:rsidR="00722854" w:rsidRPr="00990402" w:rsidRDefault="00722854" w:rsidP="004249A6">
            <w:pPr>
              <w:jc w:val="center"/>
              <w:rPr>
                <w:sz w:val="20"/>
                <w:szCs w:val="20"/>
              </w:rPr>
            </w:pPr>
            <w:r w:rsidRPr="00990402">
              <w:rPr>
                <w:sz w:val="20"/>
                <w:szCs w:val="20"/>
              </w:rPr>
              <w:t>45</w:t>
            </w:r>
          </w:p>
        </w:tc>
        <w:tc>
          <w:tcPr>
            <w:tcW w:w="833" w:type="dxa"/>
            <w:shd w:val="clear" w:color="auto" w:fill="EAF1DD" w:themeFill="accent3" w:themeFillTint="33"/>
            <w:vAlign w:val="center"/>
          </w:tcPr>
          <w:p w:rsidR="00722854" w:rsidRPr="00990402" w:rsidRDefault="00722854" w:rsidP="004249A6">
            <w:pPr>
              <w:jc w:val="center"/>
              <w:rPr>
                <w:sz w:val="20"/>
                <w:szCs w:val="20"/>
              </w:rPr>
            </w:pPr>
            <w:r w:rsidRPr="00990402">
              <w:rPr>
                <w:sz w:val="20"/>
                <w:szCs w:val="20"/>
              </w:rPr>
              <w:t>47</w:t>
            </w:r>
          </w:p>
        </w:tc>
        <w:tc>
          <w:tcPr>
            <w:tcW w:w="833" w:type="dxa"/>
            <w:shd w:val="clear" w:color="auto" w:fill="EAF1DD" w:themeFill="accent3" w:themeFillTint="33"/>
            <w:vAlign w:val="center"/>
          </w:tcPr>
          <w:p w:rsidR="00722854" w:rsidRPr="00990402" w:rsidRDefault="00722854" w:rsidP="004249A6">
            <w:pPr>
              <w:jc w:val="center"/>
              <w:rPr>
                <w:sz w:val="20"/>
                <w:szCs w:val="20"/>
              </w:rPr>
            </w:pPr>
            <w:r w:rsidRPr="00990402">
              <w:rPr>
                <w:sz w:val="20"/>
                <w:szCs w:val="20"/>
              </w:rPr>
              <w:t>50</w:t>
            </w:r>
          </w:p>
        </w:tc>
        <w:tc>
          <w:tcPr>
            <w:tcW w:w="833" w:type="dxa"/>
            <w:shd w:val="clear" w:color="auto" w:fill="EAF1DD" w:themeFill="accent3" w:themeFillTint="33"/>
            <w:vAlign w:val="center"/>
          </w:tcPr>
          <w:p w:rsidR="00722854" w:rsidRPr="00990402" w:rsidRDefault="00722854" w:rsidP="004249A6">
            <w:pPr>
              <w:jc w:val="center"/>
              <w:rPr>
                <w:sz w:val="20"/>
                <w:szCs w:val="20"/>
              </w:rPr>
            </w:pPr>
            <w:r w:rsidRPr="00990402">
              <w:rPr>
                <w:sz w:val="20"/>
                <w:szCs w:val="20"/>
              </w:rPr>
              <w:t>47</w:t>
            </w:r>
          </w:p>
        </w:tc>
      </w:tr>
      <w:tr w:rsidR="00722854" w:rsidRPr="00990402" w:rsidTr="004249A6">
        <w:tc>
          <w:tcPr>
            <w:tcW w:w="392" w:type="dxa"/>
            <w:shd w:val="clear" w:color="auto" w:fill="auto"/>
            <w:vAlign w:val="center"/>
          </w:tcPr>
          <w:p w:rsidR="00722854" w:rsidRPr="00990402" w:rsidRDefault="00722854" w:rsidP="004249A6">
            <w:pPr>
              <w:rPr>
                <w:sz w:val="20"/>
                <w:szCs w:val="20"/>
              </w:rPr>
            </w:pPr>
            <w:r w:rsidRPr="00990402">
              <w:rPr>
                <w:sz w:val="20"/>
                <w:szCs w:val="20"/>
              </w:rPr>
              <w:t>5</w:t>
            </w:r>
          </w:p>
        </w:tc>
        <w:tc>
          <w:tcPr>
            <w:tcW w:w="2519" w:type="dxa"/>
            <w:shd w:val="clear" w:color="auto" w:fill="auto"/>
          </w:tcPr>
          <w:p w:rsidR="00722854" w:rsidRPr="00990402" w:rsidRDefault="00722854" w:rsidP="004249A6">
            <w:pPr>
              <w:jc w:val="both"/>
              <w:rPr>
                <w:sz w:val="20"/>
                <w:szCs w:val="20"/>
              </w:rPr>
            </w:pPr>
            <w:r w:rsidRPr="00990402">
              <w:rPr>
                <w:sz w:val="20"/>
                <w:szCs w:val="20"/>
              </w:rPr>
              <w:t>Курганская область</w:t>
            </w:r>
          </w:p>
        </w:tc>
        <w:tc>
          <w:tcPr>
            <w:tcW w:w="832" w:type="dxa"/>
            <w:shd w:val="clear" w:color="auto" w:fill="auto"/>
            <w:vAlign w:val="center"/>
          </w:tcPr>
          <w:p w:rsidR="00722854" w:rsidRPr="00990402" w:rsidRDefault="00722854" w:rsidP="004249A6">
            <w:pPr>
              <w:jc w:val="center"/>
              <w:rPr>
                <w:sz w:val="20"/>
                <w:szCs w:val="20"/>
              </w:rPr>
            </w:pPr>
            <w:r w:rsidRPr="00990402">
              <w:rPr>
                <w:sz w:val="20"/>
                <w:szCs w:val="20"/>
              </w:rPr>
              <w:t>92,7</w:t>
            </w:r>
          </w:p>
        </w:tc>
        <w:tc>
          <w:tcPr>
            <w:tcW w:w="833" w:type="dxa"/>
            <w:shd w:val="clear" w:color="auto" w:fill="auto"/>
            <w:vAlign w:val="center"/>
          </w:tcPr>
          <w:p w:rsidR="00722854" w:rsidRPr="00990402" w:rsidRDefault="00722854" w:rsidP="004249A6">
            <w:pPr>
              <w:jc w:val="center"/>
              <w:rPr>
                <w:sz w:val="20"/>
                <w:szCs w:val="20"/>
              </w:rPr>
            </w:pPr>
            <w:r w:rsidRPr="00990402">
              <w:rPr>
                <w:sz w:val="20"/>
                <w:szCs w:val="20"/>
              </w:rPr>
              <w:t>88,3</w:t>
            </w:r>
          </w:p>
        </w:tc>
        <w:tc>
          <w:tcPr>
            <w:tcW w:w="833" w:type="dxa"/>
            <w:shd w:val="clear" w:color="auto" w:fill="auto"/>
            <w:vAlign w:val="center"/>
          </w:tcPr>
          <w:p w:rsidR="00722854" w:rsidRPr="00990402" w:rsidRDefault="00722854" w:rsidP="004249A6">
            <w:pPr>
              <w:jc w:val="center"/>
              <w:rPr>
                <w:sz w:val="20"/>
                <w:szCs w:val="20"/>
              </w:rPr>
            </w:pPr>
            <w:r w:rsidRPr="00990402">
              <w:rPr>
                <w:sz w:val="20"/>
                <w:szCs w:val="20"/>
              </w:rPr>
              <w:t>83,4</w:t>
            </w:r>
          </w:p>
        </w:tc>
        <w:tc>
          <w:tcPr>
            <w:tcW w:w="795" w:type="dxa"/>
            <w:shd w:val="clear" w:color="auto" w:fill="auto"/>
            <w:vAlign w:val="center"/>
          </w:tcPr>
          <w:p w:rsidR="00722854" w:rsidRPr="00990402" w:rsidRDefault="00722854" w:rsidP="004249A6">
            <w:pPr>
              <w:jc w:val="center"/>
              <w:rPr>
                <w:sz w:val="20"/>
                <w:szCs w:val="20"/>
              </w:rPr>
            </w:pPr>
            <w:r w:rsidRPr="00990402">
              <w:rPr>
                <w:sz w:val="20"/>
                <w:szCs w:val="20"/>
              </w:rPr>
              <w:t>76,4</w:t>
            </w:r>
          </w:p>
        </w:tc>
        <w:tc>
          <w:tcPr>
            <w:tcW w:w="870" w:type="dxa"/>
            <w:shd w:val="clear" w:color="auto" w:fill="auto"/>
            <w:vAlign w:val="center"/>
          </w:tcPr>
          <w:p w:rsidR="00722854" w:rsidRPr="00990402" w:rsidRDefault="00722854" w:rsidP="004249A6">
            <w:pPr>
              <w:jc w:val="center"/>
              <w:rPr>
                <w:sz w:val="20"/>
                <w:szCs w:val="20"/>
              </w:rPr>
            </w:pPr>
            <w:r w:rsidRPr="00990402">
              <w:rPr>
                <w:sz w:val="20"/>
                <w:szCs w:val="20"/>
              </w:rPr>
              <w:t>58</w:t>
            </w:r>
          </w:p>
        </w:tc>
        <w:tc>
          <w:tcPr>
            <w:tcW w:w="833" w:type="dxa"/>
            <w:shd w:val="clear" w:color="auto" w:fill="auto"/>
            <w:vAlign w:val="center"/>
          </w:tcPr>
          <w:p w:rsidR="00722854" w:rsidRPr="00990402" w:rsidRDefault="00722854" w:rsidP="004249A6">
            <w:pPr>
              <w:jc w:val="center"/>
              <w:rPr>
                <w:sz w:val="20"/>
                <w:szCs w:val="20"/>
              </w:rPr>
            </w:pPr>
            <w:r w:rsidRPr="00990402">
              <w:rPr>
                <w:sz w:val="20"/>
                <w:szCs w:val="20"/>
              </w:rPr>
              <w:t>68</w:t>
            </w:r>
          </w:p>
        </w:tc>
        <w:tc>
          <w:tcPr>
            <w:tcW w:w="833" w:type="dxa"/>
            <w:shd w:val="clear" w:color="auto" w:fill="auto"/>
            <w:vAlign w:val="center"/>
          </w:tcPr>
          <w:p w:rsidR="00722854" w:rsidRPr="00990402" w:rsidRDefault="00722854" w:rsidP="004249A6">
            <w:pPr>
              <w:jc w:val="center"/>
              <w:rPr>
                <w:sz w:val="20"/>
                <w:szCs w:val="20"/>
              </w:rPr>
            </w:pPr>
            <w:r w:rsidRPr="00990402">
              <w:rPr>
                <w:sz w:val="20"/>
                <w:szCs w:val="20"/>
              </w:rPr>
              <w:t>70</w:t>
            </w:r>
          </w:p>
        </w:tc>
        <w:tc>
          <w:tcPr>
            <w:tcW w:w="833" w:type="dxa"/>
            <w:shd w:val="clear" w:color="auto" w:fill="auto"/>
            <w:vAlign w:val="center"/>
          </w:tcPr>
          <w:p w:rsidR="00722854" w:rsidRPr="00990402" w:rsidRDefault="00722854" w:rsidP="004249A6">
            <w:pPr>
              <w:jc w:val="center"/>
              <w:rPr>
                <w:sz w:val="20"/>
                <w:szCs w:val="20"/>
              </w:rPr>
            </w:pPr>
            <w:r w:rsidRPr="00990402">
              <w:rPr>
                <w:sz w:val="20"/>
                <w:szCs w:val="20"/>
              </w:rPr>
              <w:t>57</w:t>
            </w:r>
          </w:p>
        </w:tc>
      </w:tr>
      <w:tr w:rsidR="00722854" w:rsidRPr="00990402" w:rsidTr="004249A6">
        <w:tc>
          <w:tcPr>
            <w:tcW w:w="392" w:type="dxa"/>
            <w:shd w:val="clear" w:color="auto" w:fill="EAF1DD" w:themeFill="accent3" w:themeFillTint="33"/>
            <w:vAlign w:val="center"/>
          </w:tcPr>
          <w:p w:rsidR="00722854" w:rsidRPr="00990402" w:rsidRDefault="00722854" w:rsidP="004249A6">
            <w:pPr>
              <w:rPr>
                <w:sz w:val="20"/>
                <w:szCs w:val="20"/>
              </w:rPr>
            </w:pPr>
            <w:r w:rsidRPr="00990402">
              <w:rPr>
                <w:sz w:val="20"/>
                <w:szCs w:val="20"/>
              </w:rPr>
              <w:t>6</w:t>
            </w:r>
          </w:p>
        </w:tc>
        <w:tc>
          <w:tcPr>
            <w:tcW w:w="2519" w:type="dxa"/>
            <w:shd w:val="clear" w:color="auto" w:fill="EAF1DD" w:themeFill="accent3" w:themeFillTint="33"/>
          </w:tcPr>
          <w:p w:rsidR="00722854" w:rsidRPr="00990402" w:rsidRDefault="00722854" w:rsidP="004249A6">
            <w:pPr>
              <w:jc w:val="both"/>
              <w:rPr>
                <w:sz w:val="20"/>
                <w:szCs w:val="20"/>
              </w:rPr>
            </w:pPr>
            <w:r w:rsidRPr="00990402">
              <w:rPr>
                <w:sz w:val="20"/>
                <w:szCs w:val="20"/>
              </w:rPr>
              <w:t>Республика Марий Эл</w:t>
            </w:r>
          </w:p>
        </w:tc>
        <w:tc>
          <w:tcPr>
            <w:tcW w:w="832" w:type="dxa"/>
            <w:shd w:val="clear" w:color="auto" w:fill="EAF1DD" w:themeFill="accent3" w:themeFillTint="33"/>
            <w:vAlign w:val="center"/>
          </w:tcPr>
          <w:p w:rsidR="00722854" w:rsidRPr="00990402" w:rsidRDefault="00722854" w:rsidP="004249A6">
            <w:pPr>
              <w:jc w:val="center"/>
              <w:rPr>
                <w:sz w:val="20"/>
                <w:szCs w:val="20"/>
              </w:rPr>
            </w:pPr>
            <w:r w:rsidRPr="00990402">
              <w:rPr>
                <w:sz w:val="20"/>
                <w:szCs w:val="20"/>
              </w:rPr>
              <w:t>81</w:t>
            </w:r>
          </w:p>
        </w:tc>
        <w:tc>
          <w:tcPr>
            <w:tcW w:w="833" w:type="dxa"/>
            <w:shd w:val="clear" w:color="auto" w:fill="EAF1DD" w:themeFill="accent3" w:themeFillTint="33"/>
            <w:vAlign w:val="center"/>
          </w:tcPr>
          <w:p w:rsidR="00722854" w:rsidRPr="00990402" w:rsidRDefault="00722854" w:rsidP="004249A6">
            <w:pPr>
              <w:jc w:val="center"/>
              <w:rPr>
                <w:sz w:val="20"/>
                <w:szCs w:val="20"/>
              </w:rPr>
            </w:pPr>
            <w:r w:rsidRPr="00990402">
              <w:rPr>
                <w:sz w:val="20"/>
                <w:szCs w:val="20"/>
              </w:rPr>
              <w:t>85,5</w:t>
            </w:r>
          </w:p>
        </w:tc>
        <w:tc>
          <w:tcPr>
            <w:tcW w:w="833" w:type="dxa"/>
            <w:shd w:val="clear" w:color="auto" w:fill="EAF1DD" w:themeFill="accent3" w:themeFillTint="33"/>
            <w:vAlign w:val="center"/>
          </w:tcPr>
          <w:p w:rsidR="00722854" w:rsidRPr="00990402" w:rsidRDefault="00722854" w:rsidP="004249A6">
            <w:pPr>
              <w:jc w:val="center"/>
              <w:rPr>
                <w:sz w:val="20"/>
                <w:szCs w:val="20"/>
              </w:rPr>
            </w:pPr>
            <w:r w:rsidRPr="00990402">
              <w:rPr>
                <w:sz w:val="20"/>
                <w:szCs w:val="20"/>
              </w:rPr>
              <w:t>69,6</w:t>
            </w:r>
          </w:p>
        </w:tc>
        <w:tc>
          <w:tcPr>
            <w:tcW w:w="795" w:type="dxa"/>
            <w:shd w:val="clear" w:color="auto" w:fill="EAF1DD" w:themeFill="accent3" w:themeFillTint="33"/>
            <w:vAlign w:val="center"/>
          </w:tcPr>
          <w:p w:rsidR="00722854" w:rsidRPr="00990402" w:rsidRDefault="00722854" w:rsidP="004249A6">
            <w:pPr>
              <w:jc w:val="center"/>
              <w:rPr>
                <w:sz w:val="20"/>
                <w:szCs w:val="20"/>
              </w:rPr>
            </w:pPr>
            <w:r w:rsidRPr="00990402">
              <w:rPr>
                <w:sz w:val="20"/>
                <w:szCs w:val="20"/>
              </w:rPr>
              <w:t>68,8</w:t>
            </w:r>
          </w:p>
        </w:tc>
        <w:tc>
          <w:tcPr>
            <w:tcW w:w="870" w:type="dxa"/>
            <w:shd w:val="clear" w:color="auto" w:fill="EAF1DD" w:themeFill="accent3" w:themeFillTint="33"/>
            <w:vAlign w:val="center"/>
          </w:tcPr>
          <w:p w:rsidR="00722854" w:rsidRPr="00990402" w:rsidRDefault="00722854" w:rsidP="004249A6">
            <w:pPr>
              <w:jc w:val="center"/>
              <w:rPr>
                <w:sz w:val="20"/>
                <w:szCs w:val="20"/>
              </w:rPr>
            </w:pPr>
            <w:r w:rsidRPr="00990402">
              <w:rPr>
                <w:sz w:val="20"/>
                <w:szCs w:val="20"/>
              </w:rPr>
              <w:t>51</w:t>
            </w:r>
          </w:p>
        </w:tc>
        <w:tc>
          <w:tcPr>
            <w:tcW w:w="833" w:type="dxa"/>
            <w:shd w:val="clear" w:color="auto" w:fill="EAF1DD" w:themeFill="accent3" w:themeFillTint="33"/>
            <w:vAlign w:val="center"/>
          </w:tcPr>
          <w:p w:rsidR="00722854" w:rsidRPr="00990402" w:rsidRDefault="00722854" w:rsidP="004249A6">
            <w:pPr>
              <w:jc w:val="center"/>
              <w:rPr>
                <w:sz w:val="20"/>
                <w:szCs w:val="20"/>
              </w:rPr>
            </w:pPr>
            <w:r w:rsidRPr="00990402">
              <w:rPr>
                <w:sz w:val="20"/>
                <w:szCs w:val="20"/>
              </w:rPr>
              <w:t>54</w:t>
            </w:r>
          </w:p>
        </w:tc>
        <w:tc>
          <w:tcPr>
            <w:tcW w:w="833" w:type="dxa"/>
            <w:shd w:val="clear" w:color="auto" w:fill="EAF1DD" w:themeFill="accent3" w:themeFillTint="33"/>
            <w:vAlign w:val="center"/>
          </w:tcPr>
          <w:p w:rsidR="00722854" w:rsidRPr="00990402" w:rsidRDefault="00722854" w:rsidP="004249A6">
            <w:pPr>
              <w:jc w:val="center"/>
              <w:rPr>
                <w:sz w:val="20"/>
                <w:szCs w:val="20"/>
              </w:rPr>
            </w:pPr>
            <w:r w:rsidRPr="00990402">
              <w:rPr>
                <w:sz w:val="20"/>
                <w:szCs w:val="20"/>
              </w:rPr>
              <w:t>56</w:t>
            </w:r>
          </w:p>
        </w:tc>
        <w:tc>
          <w:tcPr>
            <w:tcW w:w="833" w:type="dxa"/>
            <w:shd w:val="clear" w:color="auto" w:fill="EAF1DD" w:themeFill="accent3" w:themeFillTint="33"/>
            <w:vAlign w:val="center"/>
          </w:tcPr>
          <w:p w:rsidR="00722854" w:rsidRPr="00990402" w:rsidRDefault="00722854" w:rsidP="004249A6">
            <w:pPr>
              <w:jc w:val="center"/>
              <w:rPr>
                <w:sz w:val="20"/>
                <w:szCs w:val="20"/>
              </w:rPr>
            </w:pPr>
            <w:r w:rsidRPr="00990402">
              <w:rPr>
                <w:sz w:val="20"/>
                <w:szCs w:val="20"/>
              </w:rPr>
              <w:t>60</w:t>
            </w:r>
          </w:p>
        </w:tc>
      </w:tr>
      <w:tr w:rsidR="00722854" w:rsidRPr="00990402" w:rsidTr="004249A6">
        <w:tc>
          <w:tcPr>
            <w:tcW w:w="392" w:type="dxa"/>
            <w:shd w:val="clear" w:color="auto" w:fill="auto"/>
            <w:vAlign w:val="center"/>
          </w:tcPr>
          <w:p w:rsidR="00722854" w:rsidRPr="00990402" w:rsidRDefault="00722854" w:rsidP="004249A6">
            <w:pPr>
              <w:rPr>
                <w:sz w:val="20"/>
                <w:szCs w:val="20"/>
              </w:rPr>
            </w:pPr>
            <w:r w:rsidRPr="00990402">
              <w:rPr>
                <w:sz w:val="20"/>
                <w:szCs w:val="20"/>
              </w:rPr>
              <w:t>7</w:t>
            </w:r>
          </w:p>
        </w:tc>
        <w:tc>
          <w:tcPr>
            <w:tcW w:w="2519" w:type="dxa"/>
            <w:shd w:val="clear" w:color="auto" w:fill="auto"/>
          </w:tcPr>
          <w:p w:rsidR="00722854" w:rsidRPr="00990402" w:rsidRDefault="00722854" w:rsidP="004249A6">
            <w:pPr>
              <w:jc w:val="both"/>
              <w:rPr>
                <w:sz w:val="20"/>
                <w:szCs w:val="20"/>
              </w:rPr>
            </w:pPr>
            <w:r w:rsidRPr="00990402">
              <w:rPr>
                <w:sz w:val="20"/>
                <w:szCs w:val="20"/>
              </w:rPr>
              <w:t>Карачаево-Черкесская Республика</w:t>
            </w:r>
          </w:p>
        </w:tc>
        <w:tc>
          <w:tcPr>
            <w:tcW w:w="832" w:type="dxa"/>
            <w:shd w:val="clear" w:color="auto" w:fill="auto"/>
            <w:vAlign w:val="center"/>
          </w:tcPr>
          <w:p w:rsidR="00722854" w:rsidRPr="00990402" w:rsidRDefault="00722854" w:rsidP="004249A6">
            <w:pPr>
              <w:jc w:val="center"/>
              <w:rPr>
                <w:sz w:val="20"/>
                <w:szCs w:val="20"/>
              </w:rPr>
            </w:pPr>
            <w:r w:rsidRPr="00990402">
              <w:rPr>
                <w:sz w:val="20"/>
                <w:szCs w:val="20"/>
              </w:rPr>
              <w:t>91,2</w:t>
            </w:r>
          </w:p>
        </w:tc>
        <w:tc>
          <w:tcPr>
            <w:tcW w:w="833" w:type="dxa"/>
            <w:shd w:val="clear" w:color="auto" w:fill="auto"/>
            <w:vAlign w:val="center"/>
          </w:tcPr>
          <w:p w:rsidR="00722854" w:rsidRPr="00990402" w:rsidRDefault="00722854" w:rsidP="004249A6">
            <w:pPr>
              <w:jc w:val="center"/>
              <w:rPr>
                <w:sz w:val="20"/>
                <w:szCs w:val="20"/>
              </w:rPr>
            </w:pPr>
            <w:r w:rsidRPr="00990402">
              <w:rPr>
                <w:sz w:val="20"/>
                <w:szCs w:val="20"/>
              </w:rPr>
              <w:t>84,7</w:t>
            </w:r>
          </w:p>
        </w:tc>
        <w:tc>
          <w:tcPr>
            <w:tcW w:w="833" w:type="dxa"/>
            <w:shd w:val="clear" w:color="auto" w:fill="auto"/>
            <w:vAlign w:val="center"/>
          </w:tcPr>
          <w:p w:rsidR="00722854" w:rsidRPr="00990402" w:rsidRDefault="00722854" w:rsidP="004249A6">
            <w:pPr>
              <w:jc w:val="center"/>
              <w:rPr>
                <w:sz w:val="20"/>
                <w:szCs w:val="20"/>
              </w:rPr>
            </w:pPr>
            <w:r w:rsidRPr="00990402">
              <w:rPr>
                <w:sz w:val="20"/>
                <w:szCs w:val="20"/>
              </w:rPr>
              <w:t>79,9</w:t>
            </w:r>
          </w:p>
        </w:tc>
        <w:tc>
          <w:tcPr>
            <w:tcW w:w="795" w:type="dxa"/>
            <w:shd w:val="clear" w:color="auto" w:fill="auto"/>
            <w:vAlign w:val="center"/>
          </w:tcPr>
          <w:p w:rsidR="00722854" w:rsidRPr="00990402" w:rsidRDefault="00722854" w:rsidP="004249A6">
            <w:pPr>
              <w:jc w:val="center"/>
              <w:rPr>
                <w:sz w:val="20"/>
                <w:szCs w:val="20"/>
              </w:rPr>
            </w:pPr>
            <w:r w:rsidRPr="00990402">
              <w:rPr>
                <w:sz w:val="20"/>
                <w:szCs w:val="20"/>
              </w:rPr>
              <w:t>80,6</w:t>
            </w:r>
          </w:p>
        </w:tc>
        <w:tc>
          <w:tcPr>
            <w:tcW w:w="870" w:type="dxa"/>
            <w:shd w:val="clear" w:color="auto" w:fill="auto"/>
            <w:vAlign w:val="center"/>
          </w:tcPr>
          <w:p w:rsidR="00722854" w:rsidRPr="00990402" w:rsidRDefault="00722854" w:rsidP="004249A6">
            <w:pPr>
              <w:jc w:val="center"/>
              <w:rPr>
                <w:sz w:val="20"/>
                <w:szCs w:val="20"/>
              </w:rPr>
            </w:pPr>
            <w:r w:rsidRPr="00990402">
              <w:rPr>
                <w:sz w:val="20"/>
                <w:szCs w:val="20"/>
              </w:rPr>
              <w:t>38</w:t>
            </w:r>
          </w:p>
        </w:tc>
        <w:tc>
          <w:tcPr>
            <w:tcW w:w="833" w:type="dxa"/>
            <w:shd w:val="clear" w:color="auto" w:fill="auto"/>
            <w:vAlign w:val="center"/>
          </w:tcPr>
          <w:p w:rsidR="00722854" w:rsidRPr="00990402" w:rsidRDefault="00722854" w:rsidP="004249A6">
            <w:pPr>
              <w:jc w:val="center"/>
              <w:rPr>
                <w:sz w:val="20"/>
                <w:szCs w:val="20"/>
              </w:rPr>
            </w:pPr>
            <w:r w:rsidRPr="00990402">
              <w:rPr>
                <w:sz w:val="20"/>
                <w:szCs w:val="20"/>
              </w:rPr>
              <w:t>40</w:t>
            </w:r>
          </w:p>
        </w:tc>
        <w:tc>
          <w:tcPr>
            <w:tcW w:w="833" w:type="dxa"/>
            <w:shd w:val="clear" w:color="auto" w:fill="auto"/>
            <w:vAlign w:val="center"/>
          </w:tcPr>
          <w:p w:rsidR="00722854" w:rsidRPr="00990402" w:rsidRDefault="00722854" w:rsidP="004249A6">
            <w:pPr>
              <w:jc w:val="center"/>
              <w:rPr>
                <w:sz w:val="20"/>
                <w:szCs w:val="20"/>
              </w:rPr>
            </w:pPr>
            <w:r w:rsidRPr="00990402">
              <w:rPr>
                <w:sz w:val="20"/>
                <w:szCs w:val="20"/>
              </w:rPr>
              <w:t>40</w:t>
            </w:r>
          </w:p>
        </w:tc>
        <w:tc>
          <w:tcPr>
            <w:tcW w:w="833" w:type="dxa"/>
            <w:shd w:val="clear" w:color="auto" w:fill="auto"/>
            <w:vAlign w:val="center"/>
          </w:tcPr>
          <w:p w:rsidR="00722854" w:rsidRPr="00990402" w:rsidRDefault="00722854" w:rsidP="004249A6">
            <w:pPr>
              <w:jc w:val="center"/>
              <w:rPr>
                <w:sz w:val="20"/>
                <w:szCs w:val="20"/>
              </w:rPr>
            </w:pPr>
            <w:r w:rsidRPr="00990402">
              <w:rPr>
                <w:sz w:val="20"/>
                <w:szCs w:val="20"/>
              </w:rPr>
              <w:t>33</w:t>
            </w:r>
          </w:p>
        </w:tc>
      </w:tr>
      <w:tr w:rsidR="00722854" w:rsidRPr="00990402" w:rsidTr="004249A6">
        <w:tc>
          <w:tcPr>
            <w:tcW w:w="392" w:type="dxa"/>
            <w:shd w:val="clear" w:color="auto" w:fill="EAF1DD" w:themeFill="accent3" w:themeFillTint="33"/>
            <w:vAlign w:val="center"/>
          </w:tcPr>
          <w:p w:rsidR="00722854" w:rsidRPr="00990402" w:rsidRDefault="00722854" w:rsidP="004249A6">
            <w:pPr>
              <w:rPr>
                <w:sz w:val="20"/>
                <w:szCs w:val="20"/>
              </w:rPr>
            </w:pPr>
            <w:r w:rsidRPr="00990402">
              <w:rPr>
                <w:sz w:val="20"/>
                <w:szCs w:val="20"/>
              </w:rPr>
              <w:t>8</w:t>
            </w:r>
          </w:p>
        </w:tc>
        <w:tc>
          <w:tcPr>
            <w:tcW w:w="2519" w:type="dxa"/>
            <w:shd w:val="clear" w:color="auto" w:fill="EAF1DD" w:themeFill="accent3" w:themeFillTint="33"/>
          </w:tcPr>
          <w:p w:rsidR="00722854" w:rsidRPr="00990402" w:rsidRDefault="00722854" w:rsidP="004249A6">
            <w:pPr>
              <w:jc w:val="both"/>
              <w:rPr>
                <w:sz w:val="20"/>
                <w:szCs w:val="20"/>
              </w:rPr>
            </w:pPr>
            <w:r w:rsidRPr="00990402">
              <w:rPr>
                <w:sz w:val="20"/>
                <w:szCs w:val="20"/>
              </w:rPr>
              <w:t>Забайкальский край</w:t>
            </w:r>
          </w:p>
        </w:tc>
        <w:tc>
          <w:tcPr>
            <w:tcW w:w="832" w:type="dxa"/>
            <w:shd w:val="clear" w:color="auto" w:fill="EAF1DD" w:themeFill="accent3" w:themeFillTint="33"/>
            <w:vAlign w:val="center"/>
          </w:tcPr>
          <w:p w:rsidR="00722854" w:rsidRPr="00990402" w:rsidRDefault="00722854" w:rsidP="004249A6">
            <w:pPr>
              <w:jc w:val="center"/>
              <w:rPr>
                <w:sz w:val="20"/>
                <w:szCs w:val="20"/>
              </w:rPr>
            </w:pPr>
            <w:r w:rsidRPr="00990402">
              <w:rPr>
                <w:sz w:val="20"/>
                <w:szCs w:val="20"/>
              </w:rPr>
              <w:t>90,9</w:t>
            </w:r>
          </w:p>
        </w:tc>
        <w:tc>
          <w:tcPr>
            <w:tcW w:w="833" w:type="dxa"/>
            <w:shd w:val="clear" w:color="auto" w:fill="EAF1DD" w:themeFill="accent3" w:themeFillTint="33"/>
            <w:vAlign w:val="center"/>
          </w:tcPr>
          <w:p w:rsidR="00722854" w:rsidRPr="00990402" w:rsidRDefault="00722854" w:rsidP="004249A6">
            <w:pPr>
              <w:jc w:val="center"/>
              <w:rPr>
                <w:sz w:val="20"/>
                <w:szCs w:val="20"/>
              </w:rPr>
            </w:pPr>
            <w:r w:rsidRPr="00990402">
              <w:rPr>
                <w:sz w:val="20"/>
                <w:szCs w:val="20"/>
              </w:rPr>
              <w:t>80,7</w:t>
            </w:r>
          </w:p>
        </w:tc>
        <w:tc>
          <w:tcPr>
            <w:tcW w:w="833" w:type="dxa"/>
            <w:shd w:val="clear" w:color="auto" w:fill="EAF1DD" w:themeFill="accent3" w:themeFillTint="33"/>
            <w:vAlign w:val="center"/>
          </w:tcPr>
          <w:p w:rsidR="00722854" w:rsidRPr="00990402" w:rsidRDefault="00722854" w:rsidP="004249A6">
            <w:pPr>
              <w:jc w:val="center"/>
              <w:rPr>
                <w:sz w:val="20"/>
                <w:szCs w:val="20"/>
              </w:rPr>
            </w:pPr>
            <w:r w:rsidRPr="00990402">
              <w:rPr>
                <w:sz w:val="20"/>
                <w:szCs w:val="20"/>
              </w:rPr>
              <w:t>70,3</w:t>
            </w:r>
          </w:p>
        </w:tc>
        <w:tc>
          <w:tcPr>
            <w:tcW w:w="795" w:type="dxa"/>
            <w:shd w:val="clear" w:color="auto" w:fill="EAF1DD" w:themeFill="accent3" w:themeFillTint="33"/>
            <w:vAlign w:val="center"/>
          </w:tcPr>
          <w:p w:rsidR="00722854" w:rsidRPr="00990402" w:rsidRDefault="00722854" w:rsidP="004249A6">
            <w:pPr>
              <w:jc w:val="center"/>
              <w:rPr>
                <w:sz w:val="20"/>
                <w:szCs w:val="20"/>
              </w:rPr>
            </w:pPr>
            <w:r w:rsidRPr="00990402">
              <w:rPr>
                <w:sz w:val="20"/>
                <w:szCs w:val="20"/>
              </w:rPr>
              <w:t>74,2</w:t>
            </w:r>
          </w:p>
        </w:tc>
        <w:tc>
          <w:tcPr>
            <w:tcW w:w="870" w:type="dxa"/>
            <w:shd w:val="clear" w:color="auto" w:fill="EAF1DD" w:themeFill="accent3" w:themeFillTint="33"/>
            <w:vAlign w:val="center"/>
          </w:tcPr>
          <w:p w:rsidR="00722854" w:rsidRPr="00990402" w:rsidRDefault="00722854" w:rsidP="004249A6">
            <w:pPr>
              <w:jc w:val="center"/>
              <w:rPr>
                <w:sz w:val="20"/>
                <w:szCs w:val="20"/>
              </w:rPr>
            </w:pPr>
            <w:r w:rsidRPr="00990402">
              <w:rPr>
                <w:sz w:val="20"/>
                <w:szCs w:val="20"/>
              </w:rPr>
              <w:t>47</w:t>
            </w:r>
          </w:p>
        </w:tc>
        <w:tc>
          <w:tcPr>
            <w:tcW w:w="833" w:type="dxa"/>
            <w:shd w:val="clear" w:color="auto" w:fill="EAF1DD" w:themeFill="accent3" w:themeFillTint="33"/>
            <w:vAlign w:val="center"/>
          </w:tcPr>
          <w:p w:rsidR="00722854" w:rsidRPr="00990402" w:rsidRDefault="00722854" w:rsidP="004249A6">
            <w:pPr>
              <w:jc w:val="center"/>
              <w:rPr>
                <w:sz w:val="20"/>
                <w:szCs w:val="20"/>
              </w:rPr>
            </w:pPr>
            <w:r w:rsidRPr="00990402">
              <w:rPr>
                <w:sz w:val="20"/>
                <w:szCs w:val="20"/>
              </w:rPr>
              <w:t>48</w:t>
            </w:r>
          </w:p>
        </w:tc>
        <w:tc>
          <w:tcPr>
            <w:tcW w:w="833" w:type="dxa"/>
            <w:shd w:val="clear" w:color="auto" w:fill="EAF1DD" w:themeFill="accent3" w:themeFillTint="33"/>
            <w:vAlign w:val="center"/>
          </w:tcPr>
          <w:p w:rsidR="00722854" w:rsidRPr="00990402" w:rsidRDefault="00722854" w:rsidP="004249A6">
            <w:pPr>
              <w:jc w:val="center"/>
              <w:rPr>
                <w:sz w:val="20"/>
                <w:szCs w:val="20"/>
              </w:rPr>
            </w:pPr>
            <w:r w:rsidRPr="00990402">
              <w:rPr>
                <w:sz w:val="20"/>
                <w:szCs w:val="20"/>
              </w:rPr>
              <w:t>50</w:t>
            </w:r>
          </w:p>
        </w:tc>
        <w:tc>
          <w:tcPr>
            <w:tcW w:w="833" w:type="dxa"/>
            <w:shd w:val="clear" w:color="auto" w:fill="EAF1DD" w:themeFill="accent3" w:themeFillTint="33"/>
            <w:vAlign w:val="center"/>
          </w:tcPr>
          <w:p w:rsidR="00722854" w:rsidRPr="00990402" w:rsidRDefault="00722854" w:rsidP="004249A6">
            <w:pPr>
              <w:jc w:val="center"/>
              <w:rPr>
                <w:sz w:val="20"/>
                <w:szCs w:val="20"/>
              </w:rPr>
            </w:pPr>
            <w:r w:rsidRPr="00990402">
              <w:rPr>
                <w:sz w:val="20"/>
                <w:szCs w:val="20"/>
              </w:rPr>
              <w:t>51</w:t>
            </w:r>
          </w:p>
        </w:tc>
      </w:tr>
      <w:tr w:rsidR="00722854" w:rsidRPr="00990402" w:rsidTr="004249A6">
        <w:tc>
          <w:tcPr>
            <w:tcW w:w="392" w:type="dxa"/>
            <w:shd w:val="clear" w:color="auto" w:fill="auto"/>
            <w:vAlign w:val="center"/>
          </w:tcPr>
          <w:p w:rsidR="00722854" w:rsidRPr="00990402" w:rsidRDefault="00722854" w:rsidP="004249A6">
            <w:pPr>
              <w:rPr>
                <w:sz w:val="20"/>
                <w:szCs w:val="20"/>
              </w:rPr>
            </w:pPr>
            <w:r w:rsidRPr="00990402">
              <w:rPr>
                <w:sz w:val="20"/>
                <w:szCs w:val="20"/>
              </w:rPr>
              <w:t>9</w:t>
            </w:r>
          </w:p>
        </w:tc>
        <w:tc>
          <w:tcPr>
            <w:tcW w:w="2519" w:type="dxa"/>
            <w:shd w:val="clear" w:color="auto" w:fill="auto"/>
          </w:tcPr>
          <w:p w:rsidR="00722854" w:rsidRPr="00990402" w:rsidRDefault="00722854" w:rsidP="004249A6">
            <w:pPr>
              <w:jc w:val="both"/>
              <w:rPr>
                <w:sz w:val="20"/>
                <w:szCs w:val="20"/>
              </w:rPr>
            </w:pPr>
            <w:r w:rsidRPr="00990402">
              <w:rPr>
                <w:sz w:val="20"/>
                <w:szCs w:val="20"/>
              </w:rPr>
              <w:t>Республика Северная Осетия-Алания</w:t>
            </w:r>
          </w:p>
        </w:tc>
        <w:tc>
          <w:tcPr>
            <w:tcW w:w="832" w:type="dxa"/>
            <w:shd w:val="clear" w:color="auto" w:fill="auto"/>
            <w:vAlign w:val="center"/>
          </w:tcPr>
          <w:p w:rsidR="00722854" w:rsidRPr="00990402" w:rsidRDefault="00722854" w:rsidP="004249A6">
            <w:pPr>
              <w:jc w:val="center"/>
              <w:rPr>
                <w:sz w:val="20"/>
                <w:szCs w:val="20"/>
              </w:rPr>
            </w:pPr>
            <w:r w:rsidRPr="00990402">
              <w:rPr>
                <w:sz w:val="20"/>
                <w:szCs w:val="20"/>
              </w:rPr>
              <w:t>89,5</w:t>
            </w:r>
          </w:p>
        </w:tc>
        <w:tc>
          <w:tcPr>
            <w:tcW w:w="833" w:type="dxa"/>
            <w:shd w:val="clear" w:color="auto" w:fill="auto"/>
            <w:vAlign w:val="center"/>
          </w:tcPr>
          <w:p w:rsidR="00722854" w:rsidRPr="00990402" w:rsidRDefault="00722854" w:rsidP="004249A6">
            <w:pPr>
              <w:jc w:val="center"/>
              <w:rPr>
                <w:sz w:val="20"/>
                <w:szCs w:val="20"/>
              </w:rPr>
            </w:pPr>
            <w:r w:rsidRPr="00990402">
              <w:rPr>
                <w:sz w:val="20"/>
                <w:szCs w:val="20"/>
              </w:rPr>
              <w:t>79,5</w:t>
            </w:r>
          </w:p>
        </w:tc>
        <w:tc>
          <w:tcPr>
            <w:tcW w:w="833" w:type="dxa"/>
            <w:shd w:val="clear" w:color="auto" w:fill="auto"/>
            <w:vAlign w:val="center"/>
          </w:tcPr>
          <w:p w:rsidR="00722854" w:rsidRPr="00990402" w:rsidRDefault="00722854" w:rsidP="004249A6">
            <w:pPr>
              <w:jc w:val="center"/>
              <w:rPr>
                <w:sz w:val="20"/>
                <w:szCs w:val="20"/>
              </w:rPr>
            </w:pPr>
            <w:r w:rsidRPr="00990402">
              <w:rPr>
                <w:sz w:val="20"/>
                <w:szCs w:val="20"/>
              </w:rPr>
              <w:t>69,8</w:t>
            </w:r>
          </w:p>
        </w:tc>
        <w:tc>
          <w:tcPr>
            <w:tcW w:w="795" w:type="dxa"/>
            <w:shd w:val="clear" w:color="auto" w:fill="auto"/>
            <w:vAlign w:val="center"/>
          </w:tcPr>
          <w:p w:rsidR="00722854" w:rsidRPr="00990402" w:rsidRDefault="00722854" w:rsidP="004249A6">
            <w:pPr>
              <w:jc w:val="center"/>
              <w:rPr>
                <w:sz w:val="20"/>
                <w:szCs w:val="20"/>
              </w:rPr>
            </w:pPr>
            <w:r w:rsidRPr="00990402">
              <w:rPr>
                <w:sz w:val="20"/>
                <w:szCs w:val="20"/>
              </w:rPr>
              <w:t>66,4</w:t>
            </w:r>
          </w:p>
        </w:tc>
        <w:tc>
          <w:tcPr>
            <w:tcW w:w="870" w:type="dxa"/>
            <w:shd w:val="clear" w:color="auto" w:fill="auto"/>
            <w:vAlign w:val="center"/>
          </w:tcPr>
          <w:p w:rsidR="00722854" w:rsidRPr="00990402" w:rsidRDefault="00722854" w:rsidP="004249A6">
            <w:pPr>
              <w:jc w:val="center"/>
              <w:rPr>
                <w:sz w:val="20"/>
                <w:szCs w:val="20"/>
              </w:rPr>
            </w:pPr>
            <w:r w:rsidRPr="00990402">
              <w:rPr>
                <w:sz w:val="20"/>
                <w:szCs w:val="20"/>
              </w:rPr>
              <w:t>13</w:t>
            </w:r>
          </w:p>
        </w:tc>
        <w:tc>
          <w:tcPr>
            <w:tcW w:w="833" w:type="dxa"/>
            <w:shd w:val="clear" w:color="auto" w:fill="auto"/>
            <w:vAlign w:val="center"/>
          </w:tcPr>
          <w:p w:rsidR="00722854" w:rsidRPr="00990402" w:rsidRDefault="00722854" w:rsidP="004249A6">
            <w:pPr>
              <w:jc w:val="center"/>
              <w:rPr>
                <w:sz w:val="20"/>
                <w:szCs w:val="20"/>
              </w:rPr>
            </w:pPr>
            <w:r w:rsidRPr="00990402">
              <w:rPr>
                <w:sz w:val="20"/>
                <w:szCs w:val="20"/>
              </w:rPr>
              <w:t>15</w:t>
            </w:r>
          </w:p>
        </w:tc>
        <w:tc>
          <w:tcPr>
            <w:tcW w:w="833" w:type="dxa"/>
            <w:shd w:val="clear" w:color="auto" w:fill="auto"/>
            <w:vAlign w:val="center"/>
          </w:tcPr>
          <w:p w:rsidR="00722854" w:rsidRPr="00990402" w:rsidRDefault="00722854" w:rsidP="004249A6">
            <w:pPr>
              <w:jc w:val="center"/>
              <w:rPr>
                <w:sz w:val="20"/>
                <w:szCs w:val="20"/>
              </w:rPr>
            </w:pPr>
            <w:r w:rsidRPr="00990402">
              <w:rPr>
                <w:sz w:val="20"/>
                <w:szCs w:val="20"/>
              </w:rPr>
              <w:t>14</w:t>
            </w:r>
          </w:p>
        </w:tc>
        <w:tc>
          <w:tcPr>
            <w:tcW w:w="833" w:type="dxa"/>
            <w:shd w:val="clear" w:color="auto" w:fill="auto"/>
            <w:vAlign w:val="center"/>
          </w:tcPr>
          <w:p w:rsidR="00722854" w:rsidRPr="00990402" w:rsidRDefault="00722854" w:rsidP="004249A6">
            <w:pPr>
              <w:jc w:val="center"/>
              <w:rPr>
                <w:sz w:val="20"/>
                <w:szCs w:val="20"/>
              </w:rPr>
            </w:pPr>
            <w:r w:rsidRPr="00990402">
              <w:rPr>
                <w:sz w:val="20"/>
                <w:szCs w:val="20"/>
              </w:rPr>
              <w:t>14</w:t>
            </w:r>
          </w:p>
        </w:tc>
      </w:tr>
      <w:tr w:rsidR="00722854" w:rsidRPr="00990402" w:rsidTr="004249A6">
        <w:tc>
          <w:tcPr>
            <w:tcW w:w="392" w:type="dxa"/>
            <w:shd w:val="clear" w:color="auto" w:fill="EAF1DD" w:themeFill="accent3" w:themeFillTint="33"/>
            <w:vAlign w:val="center"/>
          </w:tcPr>
          <w:p w:rsidR="00722854" w:rsidRPr="00990402" w:rsidRDefault="00722854" w:rsidP="004249A6">
            <w:pPr>
              <w:ind w:left="-57" w:right="-57"/>
              <w:rPr>
                <w:sz w:val="20"/>
                <w:szCs w:val="20"/>
              </w:rPr>
            </w:pPr>
            <w:r w:rsidRPr="00990402">
              <w:rPr>
                <w:sz w:val="20"/>
                <w:szCs w:val="20"/>
              </w:rPr>
              <w:t>10</w:t>
            </w:r>
          </w:p>
        </w:tc>
        <w:tc>
          <w:tcPr>
            <w:tcW w:w="2519" w:type="dxa"/>
            <w:shd w:val="clear" w:color="auto" w:fill="EAF1DD" w:themeFill="accent3" w:themeFillTint="33"/>
          </w:tcPr>
          <w:p w:rsidR="00722854" w:rsidRPr="00990402" w:rsidRDefault="00722854" w:rsidP="004249A6">
            <w:pPr>
              <w:jc w:val="both"/>
              <w:rPr>
                <w:sz w:val="20"/>
                <w:szCs w:val="20"/>
              </w:rPr>
            </w:pPr>
            <w:r w:rsidRPr="00990402">
              <w:rPr>
                <w:sz w:val="20"/>
                <w:szCs w:val="20"/>
              </w:rPr>
              <w:t>Ивановская область</w:t>
            </w:r>
          </w:p>
        </w:tc>
        <w:tc>
          <w:tcPr>
            <w:tcW w:w="832" w:type="dxa"/>
            <w:shd w:val="clear" w:color="auto" w:fill="EAF1DD" w:themeFill="accent3" w:themeFillTint="33"/>
            <w:vAlign w:val="center"/>
          </w:tcPr>
          <w:p w:rsidR="00722854" w:rsidRPr="00990402" w:rsidRDefault="00722854" w:rsidP="004249A6">
            <w:pPr>
              <w:jc w:val="center"/>
              <w:rPr>
                <w:sz w:val="20"/>
                <w:szCs w:val="20"/>
              </w:rPr>
            </w:pPr>
            <w:r w:rsidRPr="00990402">
              <w:rPr>
                <w:sz w:val="20"/>
                <w:szCs w:val="20"/>
              </w:rPr>
              <w:t>87,9</w:t>
            </w:r>
          </w:p>
        </w:tc>
        <w:tc>
          <w:tcPr>
            <w:tcW w:w="833" w:type="dxa"/>
            <w:shd w:val="clear" w:color="auto" w:fill="EAF1DD" w:themeFill="accent3" w:themeFillTint="33"/>
            <w:vAlign w:val="center"/>
          </w:tcPr>
          <w:p w:rsidR="00722854" w:rsidRPr="00990402" w:rsidRDefault="00722854" w:rsidP="004249A6">
            <w:pPr>
              <w:jc w:val="center"/>
              <w:rPr>
                <w:sz w:val="20"/>
                <w:szCs w:val="20"/>
              </w:rPr>
            </w:pPr>
            <w:r w:rsidRPr="00990402">
              <w:rPr>
                <w:sz w:val="20"/>
                <w:szCs w:val="20"/>
              </w:rPr>
              <w:t>76,1</w:t>
            </w:r>
          </w:p>
        </w:tc>
        <w:tc>
          <w:tcPr>
            <w:tcW w:w="833" w:type="dxa"/>
            <w:shd w:val="clear" w:color="auto" w:fill="EAF1DD" w:themeFill="accent3" w:themeFillTint="33"/>
            <w:vAlign w:val="center"/>
          </w:tcPr>
          <w:p w:rsidR="00722854" w:rsidRPr="00990402" w:rsidRDefault="00722854" w:rsidP="004249A6">
            <w:pPr>
              <w:jc w:val="center"/>
              <w:rPr>
                <w:sz w:val="20"/>
                <w:szCs w:val="20"/>
              </w:rPr>
            </w:pPr>
            <w:r w:rsidRPr="00990402">
              <w:rPr>
                <w:sz w:val="20"/>
                <w:szCs w:val="20"/>
              </w:rPr>
              <w:t>52</w:t>
            </w:r>
          </w:p>
        </w:tc>
        <w:tc>
          <w:tcPr>
            <w:tcW w:w="795" w:type="dxa"/>
            <w:shd w:val="clear" w:color="auto" w:fill="EAF1DD" w:themeFill="accent3" w:themeFillTint="33"/>
            <w:vAlign w:val="center"/>
          </w:tcPr>
          <w:p w:rsidR="00722854" w:rsidRPr="00990402" w:rsidRDefault="00722854" w:rsidP="004249A6">
            <w:pPr>
              <w:jc w:val="center"/>
              <w:rPr>
                <w:sz w:val="20"/>
                <w:szCs w:val="20"/>
              </w:rPr>
            </w:pPr>
            <w:r w:rsidRPr="00990402">
              <w:rPr>
                <w:sz w:val="20"/>
                <w:szCs w:val="20"/>
              </w:rPr>
              <w:t>50,2</w:t>
            </w:r>
          </w:p>
        </w:tc>
        <w:tc>
          <w:tcPr>
            <w:tcW w:w="870" w:type="dxa"/>
            <w:shd w:val="clear" w:color="auto" w:fill="EAF1DD" w:themeFill="accent3" w:themeFillTint="33"/>
            <w:vAlign w:val="center"/>
          </w:tcPr>
          <w:p w:rsidR="00722854" w:rsidRPr="00990402" w:rsidRDefault="00722854" w:rsidP="004249A6">
            <w:pPr>
              <w:jc w:val="center"/>
              <w:rPr>
                <w:sz w:val="20"/>
                <w:szCs w:val="20"/>
              </w:rPr>
            </w:pPr>
            <w:r w:rsidRPr="00990402">
              <w:rPr>
                <w:sz w:val="20"/>
                <w:szCs w:val="20"/>
              </w:rPr>
              <w:t>45</w:t>
            </w:r>
          </w:p>
        </w:tc>
        <w:tc>
          <w:tcPr>
            <w:tcW w:w="833" w:type="dxa"/>
            <w:shd w:val="clear" w:color="auto" w:fill="EAF1DD" w:themeFill="accent3" w:themeFillTint="33"/>
            <w:vAlign w:val="center"/>
          </w:tcPr>
          <w:p w:rsidR="00722854" w:rsidRPr="00990402" w:rsidRDefault="00722854" w:rsidP="004249A6">
            <w:pPr>
              <w:jc w:val="center"/>
              <w:rPr>
                <w:sz w:val="20"/>
                <w:szCs w:val="20"/>
              </w:rPr>
            </w:pPr>
            <w:r w:rsidRPr="00990402">
              <w:rPr>
                <w:sz w:val="20"/>
                <w:szCs w:val="20"/>
              </w:rPr>
              <w:t>45</w:t>
            </w:r>
          </w:p>
        </w:tc>
        <w:tc>
          <w:tcPr>
            <w:tcW w:w="833" w:type="dxa"/>
            <w:shd w:val="clear" w:color="auto" w:fill="EAF1DD" w:themeFill="accent3" w:themeFillTint="33"/>
            <w:vAlign w:val="center"/>
          </w:tcPr>
          <w:p w:rsidR="00722854" w:rsidRPr="00990402" w:rsidRDefault="00722854" w:rsidP="004249A6">
            <w:pPr>
              <w:jc w:val="center"/>
              <w:rPr>
                <w:sz w:val="20"/>
                <w:szCs w:val="20"/>
              </w:rPr>
            </w:pPr>
            <w:r w:rsidRPr="00990402">
              <w:rPr>
                <w:sz w:val="20"/>
                <w:szCs w:val="20"/>
              </w:rPr>
              <w:t>43</w:t>
            </w:r>
          </w:p>
        </w:tc>
        <w:tc>
          <w:tcPr>
            <w:tcW w:w="833" w:type="dxa"/>
            <w:shd w:val="clear" w:color="auto" w:fill="EAF1DD" w:themeFill="accent3" w:themeFillTint="33"/>
            <w:vAlign w:val="center"/>
          </w:tcPr>
          <w:p w:rsidR="00722854" w:rsidRPr="00990402" w:rsidRDefault="00722854" w:rsidP="004249A6">
            <w:pPr>
              <w:jc w:val="center"/>
              <w:rPr>
                <w:sz w:val="20"/>
                <w:szCs w:val="20"/>
              </w:rPr>
            </w:pPr>
            <w:r w:rsidRPr="00990402">
              <w:rPr>
                <w:sz w:val="20"/>
                <w:szCs w:val="20"/>
              </w:rPr>
              <w:t>14</w:t>
            </w:r>
          </w:p>
        </w:tc>
      </w:tr>
      <w:tr w:rsidR="00722854" w:rsidRPr="00990402" w:rsidTr="004249A6">
        <w:tc>
          <w:tcPr>
            <w:tcW w:w="392" w:type="dxa"/>
            <w:shd w:val="clear" w:color="auto" w:fill="auto"/>
            <w:vAlign w:val="center"/>
          </w:tcPr>
          <w:p w:rsidR="00722854" w:rsidRPr="00990402" w:rsidRDefault="00722854" w:rsidP="004249A6">
            <w:pPr>
              <w:ind w:left="-57" w:right="-57"/>
              <w:rPr>
                <w:sz w:val="20"/>
                <w:szCs w:val="20"/>
              </w:rPr>
            </w:pPr>
            <w:r w:rsidRPr="00990402">
              <w:rPr>
                <w:sz w:val="20"/>
                <w:szCs w:val="20"/>
              </w:rPr>
              <w:t>11</w:t>
            </w:r>
          </w:p>
        </w:tc>
        <w:tc>
          <w:tcPr>
            <w:tcW w:w="2519" w:type="dxa"/>
            <w:shd w:val="clear" w:color="auto" w:fill="auto"/>
          </w:tcPr>
          <w:p w:rsidR="00722854" w:rsidRPr="00990402" w:rsidRDefault="00722854" w:rsidP="004249A6">
            <w:pPr>
              <w:jc w:val="both"/>
              <w:rPr>
                <w:sz w:val="20"/>
                <w:szCs w:val="20"/>
              </w:rPr>
            </w:pPr>
            <w:r w:rsidRPr="00990402">
              <w:rPr>
                <w:sz w:val="20"/>
                <w:szCs w:val="20"/>
              </w:rPr>
              <w:t>Тамбовская область</w:t>
            </w:r>
          </w:p>
        </w:tc>
        <w:tc>
          <w:tcPr>
            <w:tcW w:w="832" w:type="dxa"/>
            <w:shd w:val="clear" w:color="auto" w:fill="auto"/>
            <w:vAlign w:val="center"/>
          </w:tcPr>
          <w:p w:rsidR="00722854" w:rsidRPr="00990402" w:rsidRDefault="00722854" w:rsidP="004249A6">
            <w:pPr>
              <w:jc w:val="center"/>
              <w:rPr>
                <w:sz w:val="20"/>
                <w:szCs w:val="20"/>
              </w:rPr>
            </w:pPr>
            <w:r w:rsidRPr="00990402">
              <w:rPr>
                <w:sz w:val="20"/>
                <w:szCs w:val="20"/>
              </w:rPr>
              <w:t>77,3</w:t>
            </w:r>
          </w:p>
        </w:tc>
        <w:tc>
          <w:tcPr>
            <w:tcW w:w="833" w:type="dxa"/>
            <w:shd w:val="clear" w:color="auto" w:fill="auto"/>
            <w:vAlign w:val="center"/>
          </w:tcPr>
          <w:p w:rsidR="00722854" w:rsidRPr="00990402" w:rsidRDefault="00722854" w:rsidP="004249A6">
            <w:pPr>
              <w:jc w:val="center"/>
              <w:rPr>
                <w:sz w:val="20"/>
                <w:szCs w:val="20"/>
              </w:rPr>
            </w:pPr>
            <w:r w:rsidRPr="00990402">
              <w:rPr>
                <w:sz w:val="20"/>
                <w:szCs w:val="20"/>
              </w:rPr>
              <w:t>71,9</w:t>
            </w:r>
          </w:p>
        </w:tc>
        <w:tc>
          <w:tcPr>
            <w:tcW w:w="833" w:type="dxa"/>
            <w:shd w:val="clear" w:color="auto" w:fill="auto"/>
            <w:vAlign w:val="center"/>
          </w:tcPr>
          <w:p w:rsidR="00722854" w:rsidRPr="00990402" w:rsidRDefault="00722854" w:rsidP="004249A6">
            <w:pPr>
              <w:jc w:val="center"/>
              <w:rPr>
                <w:sz w:val="20"/>
                <w:szCs w:val="20"/>
              </w:rPr>
            </w:pPr>
            <w:r w:rsidRPr="00990402">
              <w:rPr>
                <w:sz w:val="20"/>
                <w:szCs w:val="20"/>
              </w:rPr>
              <w:t>79,4</w:t>
            </w:r>
          </w:p>
        </w:tc>
        <w:tc>
          <w:tcPr>
            <w:tcW w:w="795" w:type="dxa"/>
            <w:shd w:val="clear" w:color="auto" w:fill="auto"/>
            <w:vAlign w:val="center"/>
          </w:tcPr>
          <w:p w:rsidR="00722854" w:rsidRPr="00990402" w:rsidRDefault="00722854" w:rsidP="004249A6">
            <w:pPr>
              <w:jc w:val="center"/>
              <w:rPr>
                <w:sz w:val="20"/>
                <w:szCs w:val="20"/>
              </w:rPr>
            </w:pPr>
            <w:r w:rsidRPr="00990402">
              <w:rPr>
                <w:sz w:val="20"/>
                <w:szCs w:val="20"/>
              </w:rPr>
              <w:t>73,8</w:t>
            </w:r>
          </w:p>
        </w:tc>
        <w:tc>
          <w:tcPr>
            <w:tcW w:w="870" w:type="dxa"/>
            <w:shd w:val="clear" w:color="auto" w:fill="auto"/>
            <w:vAlign w:val="center"/>
          </w:tcPr>
          <w:p w:rsidR="00722854" w:rsidRPr="00990402" w:rsidRDefault="00722854" w:rsidP="004249A6">
            <w:pPr>
              <w:jc w:val="center"/>
              <w:rPr>
                <w:sz w:val="20"/>
                <w:szCs w:val="20"/>
              </w:rPr>
            </w:pPr>
            <w:r w:rsidRPr="00990402">
              <w:rPr>
                <w:sz w:val="20"/>
                <w:szCs w:val="20"/>
              </w:rPr>
              <w:t>75</w:t>
            </w:r>
          </w:p>
        </w:tc>
        <w:tc>
          <w:tcPr>
            <w:tcW w:w="833" w:type="dxa"/>
            <w:shd w:val="clear" w:color="auto" w:fill="auto"/>
            <w:vAlign w:val="center"/>
          </w:tcPr>
          <w:p w:rsidR="00722854" w:rsidRPr="00990402" w:rsidRDefault="00722854" w:rsidP="004249A6">
            <w:pPr>
              <w:jc w:val="center"/>
              <w:rPr>
                <w:sz w:val="20"/>
                <w:szCs w:val="20"/>
              </w:rPr>
            </w:pPr>
            <w:r w:rsidRPr="00990402">
              <w:rPr>
                <w:sz w:val="20"/>
                <w:szCs w:val="20"/>
              </w:rPr>
              <w:t>77</w:t>
            </w:r>
          </w:p>
        </w:tc>
        <w:tc>
          <w:tcPr>
            <w:tcW w:w="833" w:type="dxa"/>
            <w:shd w:val="clear" w:color="auto" w:fill="auto"/>
            <w:vAlign w:val="center"/>
          </w:tcPr>
          <w:p w:rsidR="00722854" w:rsidRPr="00990402" w:rsidRDefault="00722854" w:rsidP="004249A6">
            <w:pPr>
              <w:jc w:val="center"/>
              <w:rPr>
                <w:sz w:val="20"/>
                <w:szCs w:val="20"/>
              </w:rPr>
            </w:pPr>
            <w:r w:rsidRPr="00990402">
              <w:rPr>
                <w:sz w:val="20"/>
                <w:szCs w:val="20"/>
              </w:rPr>
              <w:t>80</w:t>
            </w:r>
          </w:p>
        </w:tc>
        <w:tc>
          <w:tcPr>
            <w:tcW w:w="833" w:type="dxa"/>
            <w:shd w:val="clear" w:color="auto" w:fill="auto"/>
            <w:vAlign w:val="center"/>
          </w:tcPr>
          <w:p w:rsidR="00722854" w:rsidRPr="00990402" w:rsidRDefault="00722854" w:rsidP="004249A6">
            <w:pPr>
              <w:jc w:val="center"/>
              <w:rPr>
                <w:sz w:val="20"/>
                <w:szCs w:val="20"/>
              </w:rPr>
            </w:pPr>
            <w:r w:rsidRPr="00990402">
              <w:rPr>
                <w:sz w:val="20"/>
                <w:szCs w:val="20"/>
              </w:rPr>
              <w:t>74</w:t>
            </w:r>
          </w:p>
        </w:tc>
      </w:tr>
      <w:tr w:rsidR="00722854" w:rsidRPr="00715D02" w:rsidTr="004249A6">
        <w:tc>
          <w:tcPr>
            <w:tcW w:w="392" w:type="dxa"/>
            <w:shd w:val="clear" w:color="auto" w:fill="EAF1DD" w:themeFill="accent3" w:themeFillTint="33"/>
            <w:vAlign w:val="center"/>
          </w:tcPr>
          <w:p w:rsidR="00722854" w:rsidRPr="00990402" w:rsidRDefault="00722854" w:rsidP="004249A6">
            <w:pPr>
              <w:shd w:val="clear" w:color="auto" w:fill="EAF1DD" w:themeFill="accent3" w:themeFillTint="33"/>
              <w:ind w:left="-57" w:right="-57"/>
              <w:rPr>
                <w:sz w:val="20"/>
                <w:szCs w:val="20"/>
              </w:rPr>
            </w:pPr>
            <w:r w:rsidRPr="00990402">
              <w:rPr>
                <w:sz w:val="20"/>
                <w:szCs w:val="20"/>
              </w:rPr>
              <w:t>12</w:t>
            </w:r>
          </w:p>
        </w:tc>
        <w:tc>
          <w:tcPr>
            <w:tcW w:w="2519" w:type="dxa"/>
            <w:shd w:val="clear" w:color="auto" w:fill="EAF1DD" w:themeFill="accent3" w:themeFillTint="33"/>
          </w:tcPr>
          <w:p w:rsidR="00722854" w:rsidRPr="00990402" w:rsidRDefault="00722854" w:rsidP="004249A6">
            <w:pPr>
              <w:shd w:val="clear" w:color="auto" w:fill="EAF1DD" w:themeFill="accent3" w:themeFillTint="33"/>
              <w:jc w:val="both"/>
              <w:rPr>
                <w:sz w:val="20"/>
                <w:szCs w:val="20"/>
              </w:rPr>
            </w:pPr>
            <w:r w:rsidRPr="00990402">
              <w:rPr>
                <w:sz w:val="20"/>
                <w:szCs w:val="20"/>
              </w:rPr>
              <w:t>Республика Калмыкия</w:t>
            </w:r>
          </w:p>
        </w:tc>
        <w:tc>
          <w:tcPr>
            <w:tcW w:w="832" w:type="dxa"/>
            <w:shd w:val="clear" w:color="auto" w:fill="EAF1DD" w:themeFill="accent3" w:themeFillTint="33"/>
            <w:vAlign w:val="center"/>
          </w:tcPr>
          <w:p w:rsidR="00722854" w:rsidRPr="00990402" w:rsidRDefault="00722854" w:rsidP="004249A6">
            <w:pPr>
              <w:shd w:val="clear" w:color="auto" w:fill="EAF1DD" w:themeFill="accent3" w:themeFillTint="33"/>
              <w:jc w:val="center"/>
              <w:rPr>
                <w:sz w:val="20"/>
                <w:szCs w:val="20"/>
              </w:rPr>
            </w:pPr>
            <w:r w:rsidRPr="00990402">
              <w:rPr>
                <w:sz w:val="20"/>
                <w:szCs w:val="20"/>
              </w:rPr>
              <w:t>75,2</w:t>
            </w:r>
          </w:p>
        </w:tc>
        <w:tc>
          <w:tcPr>
            <w:tcW w:w="833" w:type="dxa"/>
            <w:shd w:val="clear" w:color="auto" w:fill="EAF1DD" w:themeFill="accent3" w:themeFillTint="33"/>
            <w:vAlign w:val="center"/>
          </w:tcPr>
          <w:p w:rsidR="00722854" w:rsidRPr="00990402" w:rsidRDefault="00722854" w:rsidP="004249A6">
            <w:pPr>
              <w:shd w:val="clear" w:color="auto" w:fill="EAF1DD" w:themeFill="accent3" w:themeFillTint="33"/>
              <w:jc w:val="center"/>
              <w:rPr>
                <w:sz w:val="20"/>
                <w:szCs w:val="20"/>
              </w:rPr>
            </w:pPr>
            <w:r w:rsidRPr="00990402">
              <w:rPr>
                <w:sz w:val="20"/>
                <w:szCs w:val="20"/>
              </w:rPr>
              <w:t>69,1</w:t>
            </w:r>
          </w:p>
        </w:tc>
        <w:tc>
          <w:tcPr>
            <w:tcW w:w="833" w:type="dxa"/>
            <w:shd w:val="clear" w:color="auto" w:fill="EAF1DD" w:themeFill="accent3" w:themeFillTint="33"/>
            <w:vAlign w:val="center"/>
          </w:tcPr>
          <w:p w:rsidR="00722854" w:rsidRPr="00990402" w:rsidRDefault="00722854" w:rsidP="004249A6">
            <w:pPr>
              <w:shd w:val="clear" w:color="auto" w:fill="EAF1DD" w:themeFill="accent3" w:themeFillTint="33"/>
              <w:jc w:val="center"/>
              <w:rPr>
                <w:sz w:val="20"/>
                <w:szCs w:val="20"/>
              </w:rPr>
            </w:pPr>
            <w:r w:rsidRPr="00990402">
              <w:rPr>
                <w:sz w:val="20"/>
                <w:szCs w:val="20"/>
              </w:rPr>
              <w:t>78,6</w:t>
            </w:r>
          </w:p>
        </w:tc>
        <w:tc>
          <w:tcPr>
            <w:tcW w:w="795" w:type="dxa"/>
            <w:shd w:val="clear" w:color="auto" w:fill="EAF1DD" w:themeFill="accent3" w:themeFillTint="33"/>
            <w:vAlign w:val="center"/>
          </w:tcPr>
          <w:p w:rsidR="00722854" w:rsidRPr="00990402" w:rsidRDefault="00722854" w:rsidP="004249A6">
            <w:pPr>
              <w:shd w:val="clear" w:color="auto" w:fill="EAF1DD" w:themeFill="accent3" w:themeFillTint="33"/>
              <w:jc w:val="center"/>
              <w:rPr>
                <w:sz w:val="20"/>
                <w:szCs w:val="20"/>
              </w:rPr>
            </w:pPr>
            <w:r w:rsidRPr="00990402">
              <w:rPr>
                <w:sz w:val="20"/>
                <w:szCs w:val="20"/>
              </w:rPr>
              <w:t>99</w:t>
            </w:r>
          </w:p>
        </w:tc>
        <w:tc>
          <w:tcPr>
            <w:tcW w:w="870" w:type="dxa"/>
            <w:shd w:val="clear" w:color="auto" w:fill="EAF1DD" w:themeFill="accent3" w:themeFillTint="33"/>
            <w:vAlign w:val="center"/>
          </w:tcPr>
          <w:p w:rsidR="00722854" w:rsidRPr="00990402" w:rsidRDefault="00722854" w:rsidP="004249A6">
            <w:pPr>
              <w:shd w:val="clear" w:color="auto" w:fill="EAF1DD" w:themeFill="accent3" w:themeFillTint="33"/>
              <w:jc w:val="center"/>
              <w:rPr>
                <w:sz w:val="20"/>
                <w:szCs w:val="20"/>
              </w:rPr>
            </w:pPr>
            <w:r w:rsidRPr="00990402">
              <w:rPr>
                <w:sz w:val="20"/>
                <w:szCs w:val="20"/>
              </w:rPr>
              <w:t>47</w:t>
            </w:r>
          </w:p>
        </w:tc>
        <w:tc>
          <w:tcPr>
            <w:tcW w:w="833" w:type="dxa"/>
            <w:shd w:val="clear" w:color="auto" w:fill="EAF1DD" w:themeFill="accent3" w:themeFillTint="33"/>
            <w:vAlign w:val="center"/>
          </w:tcPr>
          <w:p w:rsidR="00722854" w:rsidRPr="00990402" w:rsidRDefault="00722854" w:rsidP="004249A6">
            <w:pPr>
              <w:shd w:val="clear" w:color="auto" w:fill="EAF1DD" w:themeFill="accent3" w:themeFillTint="33"/>
              <w:jc w:val="center"/>
              <w:rPr>
                <w:sz w:val="20"/>
                <w:szCs w:val="20"/>
              </w:rPr>
            </w:pPr>
            <w:r w:rsidRPr="00990402">
              <w:rPr>
                <w:sz w:val="20"/>
                <w:szCs w:val="20"/>
              </w:rPr>
              <w:t>51</w:t>
            </w:r>
          </w:p>
        </w:tc>
        <w:tc>
          <w:tcPr>
            <w:tcW w:w="833" w:type="dxa"/>
            <w:shd w:val="clear" w:color="auto" w:fill="EAF1DD" w:themeFill="accent3" w:themeFillTint="33"/>
            <w:vAlign w:val="center"/>
          </w:tcPr>
          <w:p w:rsidR="00722854" w:rsidRPr="00990402" w:rsidRDefault="00722854" w:rsidP="004249A6">
            <w:pPr>
              <w:shd w:val="clear" w:color="auto" w:fill="EAF1DD" w:themeFill="accent3" w:themeFillTint="33"/>
              <w:jc w:val="center"/>
              <w:rPr>
                <w:sz w:val="20"/>
                <w:szCs w:val="20"/>
              </w:rPr>
            </w:pPr>
            <w:r w:rsidRPr="00990402">
              <w:rPr>
                <w:sz w:val="20"/>
                <w:szCs w:val="20"/>
              </w:rPr>
              <w:t>60</w:t>
            </w:r>
          </w:p>
        </w:tc>
        <w:tc>
          <w:tcPr>
            <w:tcW w:w="833" w:type="dxa"/>
            <w:shd w:val="clear" w:color="auto" w:fill="EAF1DD" w:themeFill="accent3" w:themeFillTint="33"/>
            <w:vAlign w:val="center"/>
          </w:tcPr>
          <w:p w:rsidR="00722854" w:rsidRPr="00990402" w:rsidRDefault="00722854" w:rsidP="004249A6">
            <w:pPr>
              <w:shd w:val="clear" w:color="auto" w:fill="EAF1DD" w:themeFill="accent3" w:themeFillTint="33"/>
              <w:jc w:val="center"/>
              <w:rPr>
                <w:sz w:val="20"/>
                <w:szCs w:val="20"/>
              </w:rPr>
            </w:pPr>
            <w:r w:rsidRPr="00990402">
              <w:rPr>
                <w:sz w:val="20"/>
                <w:szCs w:val="20"/>
              </w:rPr>
              <w:t>61</w:t>
            </w:r>
          </w:p>
        </w:tc>
      </w:tr>
    </w:tbl>
    <w:p w:rsidR="00722854" w:rsidRPr="00715D02" w:rsidRDefault="00722854" w:rsidP="00722854">
      <w:pPr>
        <w:ind w:firstLine="567"/>
        <w:jc w:val="both"/>
        <w:rPr>
          <w:sz w:val="20"/>
          <w:szCs w:val="20"/>
          <w:highlight w:val="yellow"/>
        </w:rPr>
      </w:pPr>
    </w:p>
    <w:p w:rsidR="00722854" w:rsidRPr="00990402" w:rsidRDefault="00722854" w:rsidP="00D07B7A">
      <w:pPr>
        <w:spacing w:line="312" w:lineRule="auto"/>
        <w:ind w:firstLine="709"/>
        <w:jc w:val="both"/>
        <w:rPr>
          <w:sz w:val="28"/>
          <w:szCs w:val="28"/>
        </w:rPr>
      </w:pPr>
      <w:r w:rsidRPr="00990402">
        <w:rPr>
          <w:sz w:val="28"/>
          <w:szCs w:val="28"/>
        </w:rPr>
        <w:t>Следует отметить, что доля рыночных заимствований (ценные бумаги и кредиты кредитных организаций) в общем объеме государственного долга составляли у указанных субъектов в 2017 – 2020 годах от 26% до 80%, за исключением Чукотского автономного округа и Республики Северная Осетия-Алания у которой рыночный долг не превышал 20 процентов.</w:t>
      </w:r>
    </w:p>
    <w:p w:rsidR="00722854" w:rsidRPr="00990402" w:rsidRDefault="00722854" w:rsidP="00D07B7A">
      <w:pPr>
        <w:spacing w:line="312" w:lineRule="auto"/>
        <w:ind w:firstLine="709"/>
        <w:jc w:val="both"/>
        <w:rPr>
          <w:sz w:val="28"/>
          <w:szCs w:val="28"/>
        </w:rPr>
      </w:pPr>
      <w:r w:rsidRPr="00990402">
        <w:rPr>
          <w:sz w:val="28"/>
          <w:szCs w:val="28"/>
        </w:rPr>
        <w:t>Если рассматривать долговую устойчивость как способность субъекта выполнять все свои текущие и будущие платежные обязательства без исключительной финансовой помощи или дефолта (данный критерий используется в мировой практике), то большая часть из рассмотренных в таблице субъектов перешагнули порог экономической безопасности, т.к. при расчетах учитывались безвозмездные поступления, т.е. финансовая помощь извне.</w:t>
      </w:r>
    </w:p>
    <w:p w:rsidR="00722854" w:rsidRPr="00990402" w:rsidRDefault="00722854" w:rsidP="00D07B7A">
      <w:pPr>
        <w:spacing w:line="312" w:lineRule="auto"/>
        <w:ind w:firstLine="709"/>
        <w:jc w:val="both"/>
        <w:rPr>
          <w:sz w:val="28"/>
          <w:szCs w:val="28"/>
        </w:rPr>
      </w:pPr>
      <w:r w:rsidRPr="00990402">
        <w:rPr>
          <w:sz w:val="28"/>
          <w:szCs w:val="28"/>
        </w:rPr>
        <w:t xml:space="preserve">В конце января 2018 года из-за высокой долговой нагрузки в Республике Хакасия и Костромской области введено казначейское сопровождение, что фактически означает признание неудовлетворительного качества управления региональными финансами. Указанные субъекты Российской Федерации не относились в 2017 – 2020 годах к группе регионов с долей дотаций из федерального бюджета от 20 % до 40 %. </w:t>
      </w:r>
    </w:p>
    <w:p w:rsidR="00722854" w:rsidRPr="00990402" w:rsidRDefault="00722854" w:rsidP="00D07B7A">
      <w:pPr>
        <w:spacing w:line="312" w:lineRule="auto"/>
        <w:ind w:firstLine="709"/>
        <w:jc w:val="both"/>
        <w:rPr>
          <w:sz w:val="28"/>
          <w:szCs w:val="28"/>
        </w:rPr>
      </w:pPr>
      <w:r w:rsidRPr="00990402">
        <w:rPr>
          <w:sz w:val="28"/>
          <w:szCs w:val="28"/>
        </w:rPr>
        <w:t>В ходе исследования, проведенного АО «ТРП – финансовые решения»</w:t>
      </w:r>
      <w:r w:rsidRPr="00990402">
        <w:footnoteReference w:id="8"/>
      </w:r>
      <w:r w:rsidRPr="00990402">
        <w:rPr>
          <w:sz w:val="28"/>
          <w:szCs w:val="28"/>
        </w:rPr>
        <w:t xml:space="preserve"> было выявлено, что долговая нагрузка за период с 01.01.2020 по 01.01.2021 года снизилась у 27 субъектов (вместо 66 за 2019 год) из 85, имеющих долговые обязательства). Максимальное снижение показали: Чукотский автономный округ, Магаданская область, Республика Мордовия, Воронежская область. Максимальное увеличение долговой нагрузки показала Удмуртская Республика. Долговая нагрузка Пермского края, Томской и Кемеровской областей и Республики Хакасия выросла более 25 процентов.</w:t>
      </w:r>
    </w:p>
    <w:p w:rsidR="00722854" w:rsidRPr="00990402" w:rsidRDefault="00722854" w:rsidP="00D07B7A">
      <w:pPr>
        <w:spacing w:line="312" w:lineRule="auto"/>
        <w:ind w:firstLine="709"/>
        <w:jc w:val="both"/>
        <w:rPr>
          <w:sz w:val="28"/>
          <w:szCs w:val="28"/>
        </w:rPr>
      </w:pPr>
      <w:r w:rsidRPr="00990402">
        <w:rPr>
          <w:sz w:val="28"/>
          <w:szCs w:val="28"/>
        </w:rPr>
        <w:t>Не изменилась долговая нагрузка за рассматриваемый период у 6 субъектов (в 2019 году - 7): Алтайский край, Приморский край, г. Москва, Владимирская, Ленинградская и Псковская области.</w:t>
      </w:r>
    </w:p>
    <w:p w:rsidR="00722854" w:rsidRPr="00990402" w:rsidRDefault="00722854" w:rsidP="00D07B7A">
      <w:pPr>
        <w:spacing w:line="312" w:lineRule="auto"/>
        <w:ind w:firstLine="709"/>
        <w:jc w:val="both"/>
        <w:rPr>
          <w:sz w:val="28"/>
          <w:szCs w:val="28"/>
        </w:rPr>
      </w:pPr>
      <w:r w:rsidRPr="00990402">
        <w:rPr>
          <w:sz w:val="28"/>
          <w:szCs w:val="28"/>
        </w:rPr>
        <w:t>В качестве параметров в исследовании использовалось отношение объема государственного долга субъектов к сумме собственных доходов субъектов.</w:t>
      </w:r>
    </w:p>
    <w:p w:rsidR="00722854" w:rsidRPr="00990402" w:rsidRDefault="00722854" w:rsidP="00D07B7A">
      <w:pPr>
        <w:spacing w:line="312" w:lineRule="auto"/>
        <w:ind w:firstLine="709"/>
        <w:jc w:val="both"/>
        <w:rPr>
          <w:sz w:val="28"/>
          <w:szCs w:val="28"/>
        </w:rPr>
      </w:pPr>
      <w:r w:rsidRPr="00990402">
        <w:rPr>
          <w:sz w:val="28"/>
          <w:szCs w:val="28"/>
        </w:rPr>
        <w:t>Согласно проведенным расчетам на базе данных долговых книг субъектов Российской Федерации и Федерального казначейства в период 2017 – 2020 годов у дотационных субъектов прослеживается тенденция снижения долговой нагрузки, за исключением Тамбовской области, Республик Калмыкия и Бурятия, у которых долговая нагрузка выросла на 12,8%, 4,3% и 5,6% соответственно. Информация о долговой нагрузке по субъектам Российской Федерации представлена в следующей таблице.</w:t>
      </w:r>
    </w:p>
    <w:tbl>
      <w:tblPr>
        <w:tblW w:w="9637" w:type="dxa"/>
        <w:tblInd w:w="250" w:type="dxa"/>
        <w:tblLook w:val="04A0" w:firstRow="1" w:lastRow="0" w:firstColumn="1" w:lastColumn="0" w:noHBand="0" w:noVBand="1"/>
      </w:tblPr>
      <w:tblGrid>
        <w:gridCol w:w="3134"/>
        <w:gridCol w:w="1290"/>
        <w:gridCol w:w="1290"/>
        <w:gridCol w:w="1290"/>
        <w:gridCol w:w="1290"/>
        <w:gridCol w:w="1343"/>
      </w:tblGrid>
      <w:tr w:rsidR="00722854" w:rsidRPr="005C54B7" w:rsidTr="004249A6">
        <w:trPr>
          <w:trHeight w:val="780"/>
        </w:trPr>
        <w:tc>
          <w:tcPr>
            <w:tcW w:w="3134" w:type="dxa"/>
            <w:tcBorders>
              <w:top w:val="single" w:sz="4" w:space="0" w:color="auto"/>
              <w:left w:val="single" w:sz="4" w:space="0" w:color="auto"/>
              <w:bottom w:val="nil"/>
              <w:right w:val="single" w:sz="4" w:space="0" w:color="auto"/>
            </w:tcBorders>
            <w:shd w:val="clear" w:color="000000" w:fill="A9D08E"/>
            <w:vAlign w:val="center"/>
            <w:hideMark/>
          </w:tcPr>
          <w:p w:rsidR="00722854" w:rsidRPr="005C54B7" w:rsidRDefault="00722854" w:rsidP="004249A6">
            <w:pPr>
              <w:jc w:val="center"/>
              <w:rPr>
                <w:sz w:val="16"/>
                <w:szCs w:val="16"/>
              </w:rPr>
            </w:pPr>
            <w:r w:rsidRPr="005C54B7">
              <w:rPr>
                <w:sz w:val="16"/>
                <w:szCs w:val="16"/>
              </w:rPr>
              <w:t>Субъект                                                   Российской Федерации</w:t>
            </w:r>
          </w:p>
        </w:tc>
        <w:tc>
          <w:tcPr>
            <w:tcW w:w="1290" w:type="dxa"/>
            <w:tcBorders>
              <w:top w:val="single" w:sz="4" w:space="0" w:color="auto"/>
              <w:left w:val="nil"/>
              <w:bottom w:val="nil"/>
              <w:right w:val="single" w:sz="4" w:space="0" w:color="auto"/>
            </w:tcBorders>
            <w:shd w:val="clear" w:color="000000" w:fill="A9D08E"/>
            <w:vAlign w:val="center"/>
            <w:hideMark/>
          </w:tcPr>
          <w:p w:rsidR="00722854" w:rsidRPr="005C54B7" w:rsidRDefault="00722854" w:rsidP="004249A6">
            <w:pPr>
              <w:jc w:val="center"/>
              <w:rPr>
                <w:sz w:val="16"/>
                <w:szCs w:val="16"/>
              </w:rPr>
            </w:pPr>
            <w:r w:rsidRPr="005C54B7">
              <w:rPr>
                <w:sz w:val="16"/>
                <w:szCs w:val="16"/>
              </w:rPr>
              <w:t>01.01.2018</w:t>
            </w:r>
          </w:p>
        </w:tc>
        <w:tc>
          <w:tcPr>
            <w:tcW w:w="1290" w:type="dxa"/>
            <w:tcBorders>
              <w:top w:val="single" w:sz="4" w:space="0" w:color="auto"/>
              <w:left w:val="nil"/>
              <w:bottom w:val="nil"/>
              <w:right w:val="single" w:sz="4" w:space="0" w:color="auto"/>
            </w:tcBorders>
            <w:shd w:val="clear" w:color="000000" w:fill="A9D08E"/>
            <w:vAlign w:val="center"/>
            <w:hideMark/>
          </w:tcPr>
          <w:p w:rsidR="00722854" w:rsidRPr="005C54B7" w:rsidRDefault="00722854" w:rsidP="004249A6">
            <w:pPr>
              <w:jc w:val="center"/>
              <w:rPr>
                <w:sz w:val="16"/>
                <w:szCs w:val="16"/>
              </w:rPr>
            </w:pPr>
            <w:r w:rsidRPr="005C54B7">
              <w:rPr>
                <w:sz w:val="16"/>
                <w:szCs w:val="16"/>
              </w:rPr>
              <w:t>01.01.2019</w:t>
            </w:r>
          </w:p>
        </w:tc>
        <w:tc>
          <w:tcPr>
            <w:tcW w:w="1290" w:type="dxa"/>
            <w:tcBorders>
              <w:top w:val="single" w:sz="4" w:space="0" w:color="auto"/>
              <w:left w:val="nil"/>
              <w:bottom w:val="nil"/>
              <w:right w:val="single" w:sz="4" w:space="0" w:color="auto"/>
            </w:tcBorders>
            <w:shd w:val="clear" w:color="000000" w:fill="A9D08E"/>
            <w:vAlign w:val="center"/>
            <w:hideMark/>
          </w:tcPr>
          <w:p w:rsidR="00722854" w:rsidRPr="005C54B7" w:rsidRDefault="00722854" w:rsidP="004249A6">
            <w:pPr>
              <w:jc w:val="center"/>
              <w:rPr>
                <w:sz w:val="16"/>
                <w:szCs w:val="16"/>
              </w:rPr>
            </w:pPr>
            <w:r w:rsidRPr="005C54B7">
              <w:rPr>
                <w:sz w:val="16"/>
                <w:szCs w:val="16"/>
              </w:rPr>
              <w:t>01.01.2020</w:t>
            </w:r>
          </w:p>
        </w:tc>
        <w:tc>
          <w:tcPr>
            <w:tcW w:w="1290" w:type="dxa"/>
            <w:tcBorders>
              <w:top w:val="single" w:sz="4" w:space="0" w:color="auto"/>
              <w:left w:val="nil"/>
              <w:bottom w:val="nil"/>
              <w:right w:val="single" w:sz="4" w:space="0" w:color="auto"/>
            </w:tcBorders>
            <w:shd w:val="clear" w:color="000000" w:fill="A9D08E"/>
            <w:vAlign w:val="center"/>
            <w:hideMark/>
          </w:tcPr>
          <w:p w:rsidR="00722854" w:rsidRPr="005C54B7" w:rsidRDefault="00722854" w:rsidP="004249A6">
            <w:pPr>
              <w:jc w:val="center"/>
              <w:rPr>
                <w:sz w:val="16"/>
                <w:szCs w:val="16"/>
              </w:rPr>
            </w:pPr>
            <w:r w:rsidRPr="005C54B7">
              <w:rPr>
                <w:sz w:val="16"/>
                <w:szCs w:val="16"/>
              </w:rPr>
              <w:t>01.01.2021</w:t>
            </w:r>
          </w:p>
        </w:tc>
        <w:tc>
          <w:tcPr>
            <w:tcW w:w="1343" w:type="dxa"/>
            <w:tcBorders>
              <w:top w:val="single" w:sz="4" w:space="0" w:color="auto"/>
              <w:left w:val="nil"/>
              <w:bottom w:val="nil"/>
              <w:right w:val="single" w:sz="4" w:space="0" w:color="auto"/>
            </w:tcBorders>
            <w:shd w:val="clear" w:color="000000" w:fill="A9D08E"/>
            <w:vAlign w:val="center"/>
            <w:hideMark/>
          </w:tcPr>
          <w:p w:rsidR="00722854" w:rsidRPr="005C54B7" w:rsidRDefault="00722854" w:rsidP="004249A6">
            <w:pPr>
              <w:jc w:val="center"/>
              <w:rPr>
                <w:sz w:val="16"/>
                <w:szCs w:val="16"/>
              </w:rPr>
            </w:pPr>
            <w:r w:rsidRPr="005C54B7">
              <w:rPr>
                <w:sz w:val="16"/>
                <w:szCs w:val="16"/>
              </w:rPr>
              <w:t>Изменение за 2017 - 2020 годы</w:t>
            </w:r>
          </w:p>
        </w:tc>
      </w:tr>
      <w:tr w:rsidR="00722854" w:rsidRPr="005C54B7" w:rsidTr="004249A6">
        <w:trPr>
          <w:trHeight w:val="199"/>
        </w:trPr>
        <w:tc>
          <w:tcPr>
            <w:tcW w:w="3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2854" w:rsidRPr="005C54B7" w:rsidRDefault="00722854" w:rsidP="004249A6">
            <w:pPr>
              <w:rPr>
                <w:b/>
                <w:bCs/>
                <w:color w:val="000000"/>
                <w:sz w:val="16"/>
                <w:szCs w:val="16"/>
              </w:rPr>
            </w:pPr>
            <w:r w:rsidRPr="005C54B7">
              <w:rPr>
                <w:b/>
                <w:bCs/>
                <w:color w:val="000000"/>
                <w:sz w:val="16"/>
                <w:szCs w:val="16"/>
              </w:rPr>
              <w:t>Белгородская область</w:t>
            </w:r>
          </w:p>
        </w:tc>
        <w:tc>
          <w:tcPr>
            <w:tcW w:w="1290" w:type="dxa"/>
            <w:tcBorders>
              <w:top w:val="single" w:sz="4" w:space="0" w:color="auto"/>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65,6%</w:t>
            </w:r>
          </w:p>
        </w:tc>
        <w:tc>
          <w:tcPr>
            <w:tcW w:w="1290" w:type="dxa"/>
            <w:tcBorders>
              <w:top w:val="single" w:sz="4" w:space="0" w:color="auto"/>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44,9%</w:t>
            </w:r>
          </w:p>
        </w:tc>
        <w:tc>
          <w:tcPr>
            <w:tcW w:w="1290" w:type="dxa"/>
            <w:tcBorders>
              <w:top w:val="single" w:sz="4" w:space="0" w:color="auto"/>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38,4%</w:t>
            </w:r>
          </w:p>
        </w:tc>
        <w:tc>
          <w:tcPr>
            <w:tcW w:w="1290" w:type="dxa"/>
            <w:tcBorders>
              <w:top w:val="single" w:sz="4" w:space="0" w:color="auto"/>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42,7%</w:t>
            </w:r>
          </w:p>
        </w:tc>
        <w:tc>
          <w:tcPr>
            <w:tcW w:w="1343" w:type="dxa"/>
            <w:tcBorders>
              <w:top w:val="single" w:sz="4" w:space="0" w:color="auto"/>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-23,0%</w:t>
            </w:r>
          </w:p>
        </w:tc>
      </w:tr>
      <w:tr w:rsidR="00722854" w:rsidRPr="005C54B7" w:rsidTr="004249A6">
        <w:trPr>
          <w:trHeight w:val="130"/>
        </w:trPr>
        <w:tc>
          <w:tcPr>
            <w:tcW w:w="3134" w:type="dxa"/>
            <w:tcBorders>
              <w:top w:val="nil"/>
              <w:left w:val="single" w:sz="4" w:space="0" w:color="auto"/>
              <w:bottom w:val="single" w:sz="4" w:space="0" w:color="auto"/>
              <w:right w:val="single" w:sz="4" w:space="0" w:color="auto"/>
            </w:tcBorders>
            <w:shd w:val="clear" w:color="000000" w:fill="BDD7EE"/>
            <w:noWrap/>
            <w:vAlign w:val="center"/>
            <w:hideMark/>
          </w:tcPr>
          <w:p w:rsidR="00722854" w:rsidRPr="005C54B7" w:rsidRDefault="00722854" w:rsidP="004249A6">
            <w:pPr>
              <w:rPr>
                <w:b/>
                <w:bCs/>
                <w:color w:val="000000"/>
                <w:sz w:val="16"/>
                <w:szCs w:val="16"/>
              </w:rPr>
            </w:pPr>
            <w:r w:rsidRPr="005C54B7">
              <w:rPr>
                <w:b/>
                <w:bCs/>
                <w:color w:val="000000"/>
                <w:sz w:val="16"/>
                <w:szCs w:val="16"/>
              </w:rPr>
              <w:t>Брянская область</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47,0%</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37,5%</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33,6%</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28,9%</w:t>
            </w:r>
          </w:p>
        </w:tc>
        <w:tc>
          <w:tcPr>
            <w:tcW w:w="1343"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-18,1%</w:t>
            </w:r>
          </w:p>
        </w:tc>
      </w:tr>
      <w:tr w:rsidR="00722854" w:rsidRPr="005C54B7" w:rsidTr="004249A6">
        <w:trPr>
          <w:trHeight w:val="218"/>
        </w:trPr>
        <w:tc>
          <w:tcPr>
            <w:tcW w:w="3134" w:type="dxa"/>
            <w:tcBorders>
              <w:top w:val="nil"/>
              <w:left w:val="single" w:sz="4" w:space="0" w:color="auto"/>
              <w:bottom w:val="single" w:sz="4" w:space="0" w:color="auto"/>
              <w:right w:val="single" w:sz="4" w:space="0" w:color="auto"/>
            </w:tcBorders>
            <w:shd w:val="clear" w:color="000000" w:fill="FFFFFF"/>
            <w:noWrap/>
            <w:vAlign w:val="center"/>
            <w:hideMark/>
          </w:tcPr>
          <w:p w:rsidR="00722854" w:rsidRPr="005C54B7" w:rsidRDefault="00722854" w:rsidP="004249A6">
            <w:pPr>
              <w:rPr>
                <w:b/>
                <w:bCs/>
                <w:color w:val="000000"/>
                <w:sz w:val="16"/>
                <w:szCs w:val="16"/>
              </w:rPr>
            </w:pPr>
            <w:r w:rsidRPr="005C54B7">
              <w:rPr>
                <w:b/>
                <w:bCs/>
                <w:color w:val="000000"/>
                <w:sz w:val="16"/>
                <w:szCs w:val="16"/>
              </w:rPr>
              <w:t>Владимирская область</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10,8%</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9,2%</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8,3%</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8,1%</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-2,6%</w:t>
            </w:r>
          </w:p>
        </w:tc>
      </w:tr>
      <w:tr w:rsidR="00722854" w:rsidRPr="005C54B7" w:rsidTr="004249A6">
        <w:trPr>
          <w:trHeight w:val="278"/>
        </w:trPr>
        <w:tc>
          <w:tcPr>
            <w:tcW w:w="3134" w:type="dxa"/>
            <w:tcBorders>
              <w:top w:val="nil"/>
              <w:left w:val="single" w:sz="4" w:space="0" w:color="auto"/>
              <w:bottom w:val="single" w:sz="4" w:space="0" w:color="auto"/>
              <w:right w:val="single" w:sz="4" w:space="0" w:color="auto"/>
            </w:tcBorders>
            <w:shd w:val="clear" w:color="000000" w:fill="F2F2F2"/>
            <w:noWrap/>
            <w:vAlign w:val="center"/>
            <w:hideMark/>
          </w:tcPr>
          <w:p w:rsidR="00722854" w:rsidRPr="005C54B7" w:rsidRDefault="00722854" w:rsidP="004249A6">
            <w:pPr>
              <w:rPr>
                <w:b/>
                <w:bCs/>
                <w:color w:val="000000"/>
                <w:sz w:val="16"/>
                <w:szCs w:val="16"/>
              </w:rPr>
            </w:pPr>
            <w:r w:rsidRPr="005C54B7">
              <w:rPr>
                <w:b/>
                <w:bCs/>
                <w:color w:val="000000"/>
                <w:sz w:val="16"/>
                <w:szCs w:val="16"/>
              </w:rPr>
              <w:t>Воронежская область</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49,0%</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37,7%</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32,6%</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18,7%</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-30,3%</w:t>
            </w:r>
          </w:p>
        </w:tc>
      </w:tr>
      <w:tr w:rsidR="00722854" w:rsidRPr="005C54B7" w:rsidTr="004249A6">
        <w:trPr>
          <w:trHeight w:val="126"/>
        </w:trPr>
        <w:tc>
          <w:tcPr>
            <w:tcW w:w="3134" w:type="dxa"/>
            <w:tcBorders>
              <w:top w:val="nil"/>
              <w:left w:val="single" w:sz="4" w:space="0" w:color="auto"/>
              <w:bottom w:val="single" w:sz="4" w:space="0" w:color="auto"/>
              <w:right w:val="single" w:sz="4" w:space="0" w:color="auto"/>
            </w:tcBorders>
            <w:shd w:val="clear" w:color="000000" w:fill="BDD7EE"/>
            <w:noWrap/>
            <w:vAlign w:val="center"/>
            <w:hideMark/>
          </w:tcPr>
          <w:p w:rsidR="00722854" w:rsidRPr="005C54B7" w:rsidRDefault="00722854" w:rsidP="004249A6">
            <w:pPr>
              <w:rPr>
                <w:b/>
                <w:bCs/>
                <w:color w:val="000000"/>
                <w:sz w:val="16"/>
                <w:szCs w:val="16"/>
              </w:rPr>
            </w:pPr>
            <w:r w:rsidRPr="005C54B7">
              <w:rPr>
                <w:b/>
                <w:bCs/>
                <w:color w:val="000000"/>
                <w:sz w:val="16"/>
                <w:szCs w:val="16"/>
              </w:rPr>
              <w:t>Ивановская область</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87,9%</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76,1%</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62,0%</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50,2%</w:t>
            </w:r>
          </w:p>
        </w:tc>
        <w:tc>
          <w:tcPr>
            <w:tcW w:w="1343"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-37,7%</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2F2F2"/>
            <w:noWrap/>
            <w:vAlign w:val="center"/>
            <w:hideMark/>
          </w:tcPr>
          <w:p w:rsidR="00722854" w:rsidRPr="005C54B7" w:rsidRDefault="00722854" w:rsidP="004249A6">
            <w:pPr>
              <w:rPr>
                <w:b/>
                <w:bCs/>
                <w:color w:val="000000"/>
                <w:sz w:val="16"/>
                <w:szCs w:val="16"/>
              </w:rPr>
            </w:pPr>
            <w:r w:rsidRPr="005C54B7">
              <w:rPr>
                <w:b/>
                <w:bCs/>
                <w:color w:val="000000"/>
                <w:sz w:val="16"/>
                <w:szCs w:val="16"/>
              </w:rPr>
              <w:t>Калужская область</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71,2%</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58,8%</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52,8%</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53,9%</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-17,4%</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FFFFF"/>
            <w:noWrap/>
            <w:vAlign w:val="center"/>
            <w:hideMark/>
          </w:tcPr>
          <w:p w:rsidR="00722854" w:rsidRPr="005C54B7" w:rsidRDefault="00722854" w:rsidP="004249A6">
            <w:pPr>
              <w:rPr>
                <w:b/>
                <w:bCs/>
                <w:color w:val="000000"/>
                <w:sz w:val="16"/>
                <w:szCs w:val="16"/>
              </w:rPr>
            </w:pPr>
            <w:r w:rsidRPr="005C54B7">
              <w:rPr>
                <w:b/>
                <w:bCs/>
                <w:color w:val="000000"/>
                <w:sz w:val="16"/>
                <w:szCs w:val="16"/>
              </w:rPr>
              <w:t>Костромская область</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FF0000"/>
                <w:sz w:val="16"/>
                <w:szCs w:val="16"/>
              </w:rPr>
            </w:pPr>
            <w:r w:rsidRPr="005C54B7">
              <w:rPr>
                <w:color w:val="FF0000"/>
                <w:sz w:val="16"/>
                <w:szCs w:val="16"/>
              </w:rPr>
              <w:t>135,0%</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FF0000"/>
                <w:sz w:val="16"/>
                <w:szCs w:val="16"/>
              </w:rPr>
            </w:pPr>
            <w:r w:rsidRPr="005C54B7">
              <w:rPr>
                <w:color w:val="FF0000"/>
                <w:sz w:val="16"/>
                <w:szCs w:val="16"/>
              </w:rPr>
              <w:t>115,2%</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90,1%</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85,4%</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-49,6%</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2F2F2"/>
            <w:noWrap/>
            <w:vAlign w:val="center"/>
            <w:hideMark/>
          </w:tcPr>
          <w:p w:rsidR="00722854" w:rsidRPr="005C54B7" w:rsidRDefault="00722854" w:rsidP="004249A6">
            <w:pPr>
              <w:rPr>
                <w:b/>
                <w:bCs/>
                <w:color w:val="000000"/>
                <w:sz w:val="16"/>
                <w:szCs w:val="16"/>
              </w:rPr>
            </w:pPr>
            <w:r w:rsidRPr="005C54B7">
              <w:rPr>
                <w:b/>
                <w:bCs/>
                <w:color w:val="000000"/>
                <w:sz w:val="16"/>
                <w:szCs w:val="16"/>
              </w:rPr>
              <w:t>Курская область</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25,8%</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22,5%</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19,6%</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25,9%</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0,1%</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FFFFF"/>
            <w:noWrap/>
            <w:vAlign w:val="center"/>
            <w:hideMark/>
          </w:tcPr>
          <w:p w:rsidR="00722854" w:rsidRPr="005C54B7" w:rsidRDefault="00722854" w:rsidP="004249A6">
            <w:pPr>
              <w:rPr>
                <w:b/>
                <w:bCs/>
                <w:color w:val="000000"/>
                <w:sz w:val="16"/>
                <w:szCs w:val="16"/>
              </w:rPr>
            </w:pPr>
            <w:r w:rsidRPr="005C54B7">
              <w:rPr>
                <w:b/>
                <w:bCs/>
                <w:color w:val="000000"/>
                <w:sz w:val="16"/>
                <w:szCs w:val="16"/>
              </w:rPr>
              <w:t>Липецкая область</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37,9%</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29,0%</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25,9%</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27,3%</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-10,6%</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2F2F2"/>
            <w:noWrap/>
            <w:vAlign w:val="center"/>
            <w:hideMark/>
          </w:tcPr>
          <w:p w:rsidR="00722854" w:rsidRPr="005C54B7" w:rsidRDefault="00722854" w:rsidP="004249A6">
            <w:pPr>
              <w:rPr>
                <w:b/>
                <w:bCs/>
                <w:color w:val="000000"/>
                <w:sz w:val="16"/>
                <w:szCs w:val="16"/>
              </w:rPr>
            </w:pPr>
            <w:r w:rsidRPr="005C54B7">
              <w:rPr>
                <w:b/>
                <w:bCs/>
                <w:color w:val="000000"/>
                <w:sz w:val="16"/>
                <w:szCs w:val="16"/>
              </w:rPr>
              <w:t>Московская область</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23,4%</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28,1%</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33,7%</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50,9%</w:t>
            </w:r>
          </w:p>
        </w:tc>
        <w:tc>
          <w:tcPr>
            <w:tcW w:w="1343" w:type="dxa"/>
            <w:tcBorders>
              <w:top w:val="nil"/>
              <w:left w:val="nil"/>
              <w:bottom w:val="single" w:sz="4" w:space="0" w:color="auto"/>
              <w:right w:val="single" w:sz="4" w:space="0" w:color="auto"/>
            </w:tcBorders>
            <w:shd w:val="clear" w:color="000000" w:fill="E2EFDA"/>
            <w:noWrap/>
            <w:vAlign w:val="center"/>
            <w:hideMark/>
          </w:tcPr>
          <w:p w:rsidR="00722854" w:rsidRPr="005C54B7" w:rsidRDefault="00722854" w:rsidP="004249A6">
            <w:pPr>
              <w:jc w:val="center"/>
              <w:rPr>
                <w:color w:val="000000"/>
                <w:sz w:val="16"/>
                <w:szCs w:val="16"/>
              </w:rPr>
            </w:pPr>
            <w:r w:rsidRPr="005C54B7">
              <w:rPr>
                <w:color w:val="000000"/>
                <w:sz w:val="16"/>
                <w:szCs w:val="16"/>
              </w:rPr>
              <w:t>27,6%</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FFFFF"/>
            <w:noWrap/>
            <w:vAlign w:val="center"/>
            <w:hideMark/>
          </w:tcPr>
          <w:p w:rsidR="00722854" w:rsidRPr="005C54B7" w:rsidRDefault="00722854" w:rsidP="004249A6">
            <w:pPr>
              <w:rPr>
                <w:b/>
                <w:bCs/>
                <w:color w:val="000000"/>
                <w:sz w:val="16"/>
                <w:szCs w:val="16"/>
              </w:rPr>
            </w:pPr>
            <w:r w:rsidRPr="005C54B7">
              <w:rPr>
                <w:b/>
                <w:bCs/>
                <w:color w:val="000000"/>
                <w:sz w:val="16"/>
                <w:szCs w:val="16"/>
              </w:rPr>
              <w:t>Орловская область</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FF0000"/>
                <w:sz w:val="16"/>
                <w:szCs w:val="16"/>
              </w:rPr>
            </w:pPr>
            <w:r w:rsidRPr="005C54B7">
              <w:rPr>
                <w:color w:val="FF0000"/>
                <w:sz w:val="16"/>
                <w:szCs w:val="16"/>
              </w:rPr>
              <w:t>106,5%</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94,4%</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89,5%</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96,8%</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-9,7%</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2F2F2"/>
            <w:noWrap/>
            <w:vAlign w:val="center"/>
            <w:hideMark/>
          </w:tcPr>
          <w:p w:rsidR="00722854" w:rsidRPr="005C54B7" w:rsidRDefault="00722854" w:rsidP="004249A6">
            <w:pPr>
              <w:rPr>
                <w:b/>
                <w:bCs/>
                <w:color w:val="000000"/>
                <w:sz w:val="16"/>
                <w:szCs w:val="16"/>
              </w:rPr>
            </w:pPr>
            <w:r w:rsidRPr="005C54B7">
              <w:rPr>
                <w:b/>
                <w:bCs/>
                <w:color w:val="000000"/>
                <w:sz w:val="16"/>
                <w:szCs w:val="16"/>
              </w:rPr>
              <w:t>Рязанская область</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66,5%</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60,5%</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55,5%</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56,4%</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-10,1%</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FFFFF"/>
            <w:noWrap/>
            <w:vAlign w:val="center"/>
            <w:hideMark/>
          </w:tcPr>
          <w:p w:rsidR="00722854" w:rsidRPr="005C54B7" w:rsidRDefault="00722854" w:rsidP="004249A6">
            <w:pPr>
              <w:rPr>
                <w:b/>
                <w:bCs/>
                <w:color w:val="000000"/>
                <w:sz w:val="16"/>
                <w:szCs w:val="16"/>
              </w:rPr>
            </w:pPr>
            <w:r w:rsidRPr="005C54B7">
              <w:rPr>
                <w:b/>
                <w:bCs/>
                <w:color w:val="000000"/>
                <w:sz w:val="16"/>
                <w:szCs w:val="16"/>
              </w:rPr>
              <w:t>Смоленская область</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99,9%</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90,4%</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88,0%</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80,6%</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-19,3%</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BDD7EE"/>
            <w:noWrap/>
            <w:vAlign w:val="center"/>
            <w:hideMark/>
          </w:tcPr>
          <w:p w:rsidR="00722854" w:rsidRPr="005C54B7" w:rsidRDefault="00722854" w:rsidP="004249A6">
            <w:pPr>
              <w:rPr>
                <w:b/>
                <w:bCs/>
                <w:color w:val="000000"/>
                <w:sz w:val="16"/>
                <w:szCs w:val="16"/>
              </w:rPr>
            </w:pPr>
            <w:r w:rsidRPr="005C54B7">
              <w:rPr>
                <w:b/>
                <w:bCs/>
                <w:color w:val="000000"/>
                <w:sz w:val="16"/>
                <w:szCs w:val="16"/>
              </w:rPr>
              <w:t>Тамбовская область</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77,3%</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71,9%</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79,4%</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73,8%</w:t>
            </w:r>
          </w:p>
        </w:tc>
        <w:tc>
          <w:tcPr>
            <w:tcW w:w="1343"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-3,5%</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FFFFF"/>
            <w:noWrap/>
            <w:vAlign w:val="center"/>
            <w:hideMark/>
          </w:tcPr>
          <w:p w:rsidR="00722854" w:rsidRPr="005C54B7" w:rsidRDefault="00722854" w:rsidP="004249A6">
            <w:pPr>
              <w:rPr>
                <w:b/>
                <w:bCs/>
                <w:color w:val="000000"/>
                <w:sz w:val="16"/>
                <w:szCs w:val="16"/>
              </w:rPr>
            </w:pPr>
            <w:r w:rsidRPr="005C54B7">
              <w:rPr>
                <w:b/>
                <w:bCs/>
                <w:color w:val="000000"/>
                <w:sz w:val="16"/>
                <w:szCs w:val="16"/>
              </w:rPr>
              <w:t>Тверская область</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61,5%</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51,7%</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47,3%</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42,9%</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-18,6%</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2F2F2"/>
            <w:noWrap/>
            <w:vAlign w:val="center"/>
            <w:hideMark/>
          </w:tcPr>
          <w:p w:rsidR="00722854" w:rsidRPr="005C54B7" w:rsidRDefault="00722854" w:rsidP="004249A6">
            <w:pPr>
              <w:rPr>
                <w:b/>
                <w:bCs/>
                <w:color w:val="000000"/>
                <w:sz w:val="16"/>
                <w:szCs w:val="16"/>
              </w:rPr>
            </w:pPr>
            <w:r w:rsidRPr="005C54B7">
              <w:rPr>
                <w:b/>
                <w:bCs/>
                <w:color w:val="000000"/>
                <w:sz w:val="16"/>
                <w:szCs w:val="16"/>
              </w:rPr>
              <w:t>Тульская область</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35,3%</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30,4%</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24,4%</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25,4%</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-9,9%</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FFFFF"/>
            <w:noWrap/>
            <w:vAlign w:val="center"/>
            <w:hideMark/>
          </w:tcPr>
          <w:p w:rsidR="00722854" w:rsidRPr="005C54B7" w:rsidRDefault="00722854" w:rsidP="004249A6">
            <w:pPr>
              <w:rPr>
                <w:b/>
                <w:bCs/>
                <w:color w:val="000000"/>
                <w:sz w:val="16"/>
                <w:szCs w:val="16"/>
              </w:rPr>
            </w:pPr>
            <w:r w:rsidRPr="005C54B7">
              <w:rPr>
                <w:b/>
                <w:bCs/>
                <w:color w:val="000000"/>
                <w:sz w:val="16"/>
                <w:szCs w:val="16"/>
              </w:rPr>
              <w:t>Ярославская область</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71,7%</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66,4%</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65,9%</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67,8%</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-3,8%</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2F2F2"/>
            <w:noWrap/>
            <w:vAlign w:val="center"/>
            <w:hideMark/>
          </w:tcPr>
          <w:p w:rsidR="00722854" w:rsidRPr="005C54B7" w:rsidRDefault="00722854" w:rsidP="004249A6">
            <w:pPr>
              <w:rPr>
                <w:b/>
                <w:bCs/>
                <w:color w:val="000000"/>
                <w:sz w:val="16"/>
                <w:szCs w:val="16"/>
              </w:rPr>
            </w:pPr>
            <w:proofErr w:type="spellStart"/>
            <w:r w:rsidRPr="005C54B7">
              <w:rPr>
                <w:b/>
                <w:bCs/>
                <w:color w:val="000000"/>
                <w:sz w:val="16"/>
                <w:szCs w:val="16"/>
              </w:rPr>
              <w:t>г.Москва</w:t>
            </w:r>
            <w:proofErr w:type="spellEnd"/>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1,7%</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1,3%</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1,2%</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1,2%</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-0,5%</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BDD7EE"/>
            <w:noWrap/>
            <w:vAlign w:val="center"/>
            <w:hideMark/>
          </w:tcPr>
          <w:p w:rsidR="00722854" w:rsidRPr="005C54B7" w:rsidRDefault="00722854" w:rsidP="004249A6">
            <w:pPr>
              <w:rPr>
                <w:b/>
                <w:bCs/>
                <w:sz w:val="16"/>
                <w:szCs w:val="16"/>
              </w:rPr>
            </w:pPr>
            <w:r w:rsidRPr="005C54B7">
              <w:rPr>
                <w:b/>
                <w:bCs/>
                <w:sz w:val="16"/>
                <w:szCs w:val="16"/>
              </w:rPr>
              <w:t>Республика Карелия</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FF0000"/>
                <w:sz w:val="16"/>
                <w:szCs w:val="16"/>
              </w:rPr>
            </w:pPr>
            <w:r w:rsidRPr="005C54B7">
              <w:rPr>
                <w:color w:val="FF0000"/>
                <w:sz w:val="16"/>
                <w:szCs w:val="16"/>
              </w:rPr>
              <w:t>124,1%</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77,9%</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68,2%</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88,1%</w:t>
            </w:r>
          </w:p>
        </w:tc>
        <w:tc>
          <w:tcPr>
            <w:tcW w:w="1343"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-36,1%</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2F2F2"/>
            <w:noWrap/>
            <w:vAlign w:val="center"/>
            <w:hideMark/>
          </w:tcPr>
          <w:p w:rsidR="00722854" w:rsidRPr="005C54B7" w:rsidRDefault="00722854" w:rsidP="004249A6">
            <w:pPr>
              <w:rPr>
                <w:b/>
                <w:bCs/>
                <w:color w:val="000000"/>
                <w:sz w:val="16"/>
                <w:szCs w:val="16"/>
              </w:rPr>
            </w:pPr>
            <w:r w:rsidRPr="005C54B7">
              <w:rPr>
                <w:b/>
                <w:bCs/>
                <w:color w:val="000000"/>
                <w:sz w:val="16"/>
                <w:szCs w:val="16"/>
              </w:rPr>
              <w:t>Республика Коми</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59,9%</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37,8%</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33,2%</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57,2%</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-2,7%</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FFFFF"/>
            <w:noWrap/>
            <w:vAlign w:val="center"/>
            <w:hideMark/>
          </w:tcPr>
          <w:p w:rsidR="00722854" w:rsidRPr="005C54B7" w:rsidRDefault="00722854" w:rsidP="004249A6">
            <w:pPr>
              <w:rPr>
                <w:b/>
                <w:bCs/>
                <w:color w:val="000000"/>
                <w:sz w:val="16"/>
                <w:szCs w:val="16"/>
              </w:rPr>
            </w:pPr>
            <w:r w:rsidRPr="005C54B7">
              <w:rPr>
                <w:b/>
                <w:bCs/>
                <w:color w:val="000000"/>
                <w:sz w:val="16"/>
                <w:szCs w:val="16"/>
              </w:rPr>
              <w:t>Архангельская область</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79,1%</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60,1%</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53,4%</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76,7%</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-2,3%</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2F2F2"/>
            <w:noWrap/>
            <w:vAlign w:val="center"/>
            <w:hideMark/>
          </w:tcPr>
          <w:p w:rsidR="00722854" w:rsidRPr="005C54B7" w:rsidRDefault="00722854" w:rsidP="004249A6">
            <w:pPr>
              <w:rPr>
                <w:b/>
                <w:bCs/>
                <w:color w:val="000000"/>
                <w:sz w:val="16"/>
                <w:szCs w:val="16"/>
              </w:rPr>
            </w:pPr>
            <w:r w:rsidRPr="005C54B7">
              <w:rPr>
                <w:b/>
                <w:bCs/>
                <w:color w:val="000000"/>
                <w:sz w:val="16"/>
                <w:szCs w:val="16"/>
              </w:rPr>
              <w:t>Вологодская область</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47,1%</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32,1%</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22,6%</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24,7%</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-22,4%</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FFFFF"/>
            <w:noWrap/>
            <w:vAlign w:val="center"/>
            <w:hideMark/>
          </w:tcPr>
          <w:p w:rsidR="00722854" w:rsidRPr="005C54B7" w:rsidRDefault="00722854" w:rsidP="004249A6">
            <w:pPr>
              <w:rPr>
                <w:b/>
                <w:bCs/>
                <w:color w:val="000000"/>
                <w:sz w:val="16"/>
                <w:szCs w:val="16"/>
              </w:rPr>
            </w:pPr>
            <w:r w:rsidRPr="005C54B7">
              <w:rPr>
                <w:b/>
                <w:bCs/>
                <w:color w:val="000000"/>
                <w:sz w:val="16"/>
                <w:szCs w:val="16"/>
              </w:rPr>
              <w:t>Калининградская область</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70,9%</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60,0%</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53,4%</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52,1%</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-18,7%</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2F2F2"/>
            <w:noWrap/>
            <w:vAlign w:val="center"/>
            <w:hideMark/>
          </w:tcPr>
          <w:p w:rsidR="00722854" w:rsidRPr="005C54B7" w:rsidRDefault="00722854" w:rsidP="004249A6">
            <w:pPr>
              <w:rPr>
                <w:b/>
                <w:bCs/>
                <w:color w:val="000000"/>
                <w:sz w:val="16"/>
                <w:szCs w:val="16"/>
              </w:rPr>
            </w:pPr>
            <w:r w:rsidRPr="005C54B7">
              <w:rPr>
                <w:b/>
                <w:bCs/>
                <w:color w:val="000000"/>
                <w:sz w:val="16"/>
                <w:szCs w:val="16"/>
              </w:rPr>
              <w:t>Ленинградская область</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4,0%</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2,7%</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2,2%</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2,2%</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-1,8%</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FFFFF"/>
            <w:noWrap/>
            <w:vAlign w:val="center"/>
            <w:hideMark/>
          </w:tcPr>
          <w:p w:rsidR="00722854" w:rsidRPr="005C54B7" w:rsidRDefault="00722854" w:rsidP="004249A6">
            <w:pPr>
              <w:rPr>
                <w:b/>
                <w:bCs/>
                <w:color w:val="000000"/>
                <w:sz w:val="16"/>
                <w:szCs w:val="16"/>
              </w:rPr>
            </w:pPr>
            <w:r w:rsidRPr="005C54B7">
              <w:rPr>
                <w:b/>
                <w:bCs/>
                <w:color w:val="000000"/>
                <w:sz w:val="16"/>
                <w:szCs w:val="16"/>
              </w:rPr>
              <w:t>Мурманская область</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38,2%</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34,1%</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20,6%</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19,3%</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-18,9%</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2F2F2"/>
            <w:noWrap/>
            <w:vAlign w:val="center"/>
            <w:hideMark/>
          </w:tcPr>
          <w:p w:rsidR="00722854" w:rsidRPr="005C54B7" w:rsidRDefault="00722854" w:rsidP="004249A6">
            <w:pPr>
              <w:rPr>
                <w:b/>
                <w:bCs/>
                <w:color w:val="000000"/>
                <w:sz w:val="16"/>
                <w:szCs w:val="16"/>
              </w:rPr>
            </w:pPr>
            <w:r w:rsidRPr="005C54B7">
              <w:rPr>
                <w:b/>
                <w:bCs/>
                <w:color w:val="000000"/>
                <w:sz w:val="16"/>
                <w:szCs w:val="16"/>
              </w:rPr>
              <w:t>Новгородская область</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74,6%</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70,5%</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65,8%</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79,7%</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5,0%</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FFFFF"/>
            <w:noWrap/>
            <w:vAlign w:val="center"/>
            <w:hideMark/>
          </w:tcPr>
          <w:p w:rsidR="00722854" w:rsidRPr="005C54B7" w:rsidRDefault="00722854" w:rsidP="004249A6">
            <w:pPr>
              <w:rPr>
                <w:b/>
                <w:bCs/>
                <w:color w:val="000000"/>
                <w:sz w:val="16"/>
                <w:szCs w:val="16"/>
              </w:rPr>
            </w:pPr>
            <w:r w:rsidRPr="005C54B7">
              <w:rPr>
                <w:b/>
                <w:bCs/>
                <w:color w:val="000000"/>
                <w:sz w:val="16"/>
                <w:szCs w:val="16"/>
              </w:rPr>
              <w:t>Псковская область</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FF0000"/>
                <w:sz w:val="16"/>
                <w:szCs w:val="16"/>
              </w:rPr>
            </w:pPr>
            <w:r w:rsidRPr="005C54B7">
              <w:rPr>
                <w:color w:val="FF0000"/>
                <w:sz w:val="16"/>
                <w:szCs w:val="16"/>
              </w:rPr>
              <w:t>101,7%</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92,0%</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91,9%</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91,9%</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-9,8%</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2F2F2"/>
            <w:noWrap/>
            <w:vAlign w:val="center"/>
            <w:hideMark/>
          </w:tcPr>
          <w:p w:rsidR="00722854" w:rsidRPr="005C54B7" w:rsidRDefault="00722854" w:rsidP="004249A6">
            <w:pPr>
              <w:rPr>
                <w:b/>
                <w:bCs/>
                <w:color w:val="000000"/>
                <w:sz w:val="16"/>
                <w:szCs w:val="16"/>
              </w:rPr>
            </w:pPr>
            <w:proofErr w:type="spellStart"/>
            <w:r w:rsidRPr="005C54B7">
              <w:rPr>
                <w:b/>
                <w:bCs/>
                <w:color w:val="000000"/>
                <w:sz w:val="16"/>
                <w:szCs w:val="16"/>
              </w:rPr>
              <w:t>г.Санкт</w:t>
            </w:r>
            <w:proofErr w:type="spellEnd"/>
            <w:r w:rsidRPr="005C54B7">
              <w:rPr>
                <w:b/>
                <w:bCs/>
                <w:color w:val="000000"/>
                <w:sz w:val="16"/>
                <w:szCs w:val="16"/>
              </w:rPr>
              <w:t>-Петербург</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7,1%</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5,4%</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4,9%</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13,8%</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6,7%</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FFFFF"/>
            <w:noWrap/>
            <w:vAlign w:val="center"/>
            <w:hideMark/>
          </w:tcPr>
          <w:p w:rsidR="00722854" w:rsidRPr="005C54B7" w:rsidRDefault="00722854" w:rsidP="004249A6">
            <w:pPr>
              <w:rPr>
                <w:b/>
                <w:bCs/>
                <w:color w:val="000000"/>
                <w:sz w:val="16"/>
                <w:szCs w:val="16"/>
              </w:rPr>
            </w:pPr>
            <w:r w:rsidRPr="005C54B7">
              <w:rPr>
                <w:b/>
                <w:bCs/>
                <w:color w:val="000000"/>
                <w:sz w:val="16"/>
                <w:szCs w:val="16"/>
              </w:rPr>
              <w:t>Ненецкий автономный округ</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19,6%</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10,1%</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8,4%</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16,7%</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-2,9%</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BDD7EE"/>
            <w:noWrap/>
            <w:vAlign w:val="center"/>
            <w:hideMark/>
          </w:tcPr>
          <w:p w:rsidR="00722854" w:rsidRPr="005C54B7" w:rsidRDefault="00722854" w:rsidP="004249A6">
            <w:pPr>
              <w:rPr>
                <w:b/>
                <w:bCs/>
                <w:sz w:val="16"/>
                <w:szCs w:val="16"/>
              </w:rPr>
            </w:pPr>
            <w:r w:rsidRPr="005C54B7">
              <w:rPr>
                <w:b/>
                <w:bCs/>
                <w:sz w:val="16"/>
                <w:szCs w:val="16"/>
              </w:rPr>
              <w:t>Республика Адыгея (Адыгея)</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42,1%</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36,8%</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32,9%</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37,6%</w:t>
            </w:r>
          </w:p>
        </w:tc>
        <w:tc>
          <w:tcPr>
            <w:tcW w:w="1343"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-4,6%</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BDD7EE"/>
            <w:noWrap/>
            <w:vAlign w:val="center"/>
            <w:hideMark/>
          </w:tcPr>
          <w:p w:rsidR="00722854" w:rsidRPr="005C54B7" w:rsidRDefault="00722854" w:rsidP="004249A6">
            <w:pPr>
              <w:rPr>
                <w:b/>
                <w:bCs/>
                <w:sz w:val="16"/>
                <w:szCs w:val="16"/>
              </w:rPr>
            </w:pPr>
            <w:r w:rsidRPr="005C54B7">
              <w:rPr>
                <w:b/>
                <w:bCs/>
                <w:sz w:val="16"/>
                <w:szCs w:val="16"/>
              </w:rPr>
              <w:t>Республика Калмыкия</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75,2%</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69,1%</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78,6%</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99,0%</w:t>
            </w:r>
          </w:p>
        </w:tc>
        <w:tc>
          <w:tcPr>
            <w:tcW w:w="1343"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23,8%</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BDD7EE"/>
            <w:noWrap/>
            <w:vAlign w:val="center"/>
            <w:hideMark/>
          </w:tcPr>
          <w:p w:rsidR="00722854" w:rsidRPr="005C54B7" w:rsidRDefault="00722854" w:rsidP="004249A6">
            <w:pPr>
              <w:rPr>
                <w:b/>
                <w:bCs/>
                <w:color w:val="000000"/>
                <w:sz w:val="16"/>
                <w:szCs w:val="16"/>
              </w:rPr>
            </w:pPr>
            <w:r w:rsidRPr="005C54B7">
              <w:rPr>
                <w:b/>
                <w:bCs/>
                <w:color w:val="000000"/>
                <w:sz w:val="16"/>
                <w:szCs w:val="16"/>
              </w:rPr>
              <w:t>Республика Крым</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9,2%</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9,0%</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7,4%</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7,6%</w:t>
            </w:r>
          </w:p>
        </w:tc>
        <w:tc>
          <w:tcPr>
            <w:tcW w:w="1343"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-1,6%</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2F2F2"/>
            <w:noWrap/>
            <w:vAlign w:val="center"/>
            <w:hideMark/>
          </w:tcPr>
          <w:p w:rsidR="00722854" w:rsidRPr="005C54B7" w:rsidRDefault="00722854" w:rsidP="004249A6">
            <w:pPr>
              <w:rPr>
                <w:b/>
                <w:bCs/>
                <w:color w:val="000000"/>
                <w:sz w:val="16"/>
                <w:szCs w:val="16"/>
              </w:rPr>
            </w:pPr>
            <w:r w:rsidRPr="005C54B7">
              <w:rPr>
                <w:b/>
                <w:bCs/>
                <w:color w:val="000000"/>
                <w:sz w:val="16"/>
                <w:szCs w:val="16"/>
              </w:rPr>
              <w:t>Краснодарский край</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77,8%</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66,6%</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41,0%</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46,5%</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-31,3%</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FFFFF"/>
            <w:noWrap/>
            <w:vAlign w:val="center"/>
            <w:hideMark/>
          </w:tcPr>
          <w:p w:rsidR="00722854" w:rsidRPr="005C54B7" w:rsidRDefault="00722854" w:rsidP="004249A6">
            <w:pPr>
              <w:rPr>
                <w:b/>
                <w:bCs/>
                <w:color w:val="000000"/>
                <w:sz w:val="16"/>
                <w:szCs w:val="16"/>
              </w:rPr>
            </w:pPr>
            <w:r w:rsidRPr="005C54B7">
              <w:rPr>
                <w:b/>
                <w:bCs/>
                <w:color w:val="000000"/>
                <w:sz w:val="16"/>
                <w:szCs w:val="16"/>
              </w:rPr>
              <w:t>Астраханская область</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97,4%</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65,2%</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36,2%</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49,9%</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-47,5%</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2F2F2"/>
            <w:noWrap/>
            <w:vAlign w:val="center"/>
            <w:hideMark/>
          </w:tcPr>
          <w:p w:rsidR="00722854" w:rsidRPr="005C54B7" w:rsidRDefault="00722854" w:rsidP="004249A6">
            <w:pPr>
              <w:rPr>
                <w:b/>
                <w:bCs/>
                <w:color w:val="000000"/>
                <w:sz w:val="16"/>
                <w:szCs w:val="16"/>
              </w:rPr>
            </w:pPr>
            <w:r w:rsidRPr="005C54B7">
              <w:rPr>
                <w:b/>
                <w:bCs/>
                <w:color w:val="000000"/>
                <w:sz w:val="16"/>
                <w:szCs w:val="16"/>
              </w:rPr>
              <w:t>Волгоградская область</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88,9%</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72,7%</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64,6%</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69,4%</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-19,5%</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FFFFF"/>
            <w:noWrap/>
            <w:vAlign w:val="center"/>
            <w:hideMark/>
          </w:tcPr>
          <w:p w:rsidR="00722854" w:rsidRPr="005C54B7" w:rsidRDefault="00722854" w:rsidP="004249A6">
            <w:pPr>
              <w:rPr>
                <w:b/>
                <w:bCs/>
                <w:color w:val="000000"/>
                <w:sz w:val="16"/>
                <w:szCs w:val="16"/>
              </w:rPr>
            </w:pPr>
            <w:r w:rsidRPr="005C54B7">
              <w:rPr>
                <w:b/>
                <w:bCs/>
                <w:color w:val="000000"/>
                <w:sz w:val="16"/>
                <w:szCs w:val="16"/>
              </w:rPr>
              <w:t>Ростовская область</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32,4%</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20,8%</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20,3%</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23,7%</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-8,7%</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BDD7EE"/>
            <w:noWrap/>
            <w:vAlign w:val="center"/>
            <w:hideMark/>
          </w:tcPr>
          <w:p w:rsidR="00722854" w:rsidRPr="005C54B7" w:rsidRDefault="00722854" w:rsidP="004249A6">
            <w:pPr>
              <w:rPr>
                <w:b/>
                <w:bCs/>
                <w:color w:val="000000"/>
                <w:sz w:val="16"/>
                <w:szCs w:val="16"/>
              </w:rPr>
            </w:pPr>
            <w:proofErr w:type="spellStart"/>
            <w:r w:rsidRPr="005C54B7">
              <w:rPr>
                <w:b/>
                <w:bCs/>
                <w:color w:val="000000"/>
                <w:sz w:val="16"/>
                <w:szCs w:val="16"/>
              </w:rPr>
              <w:t>г.Севастополь</w:t>
            </w:r>
            <w:proofErr w:type="spellEnd"/>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0,0%</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0,0%</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0,0%</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0,0%</w:t>
            </w:r>
          </w:p>
        </w:tc>
        <w:tc>
          <w:tcPr>
            <w:tcW w:w="1343"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0,0%</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FFFFF"/>
            <w:noWrap/>
            <w:vAlign w:val="center"/>
            <w:hideMark/>
          </w:tcPr>
          <w:p w:rsidR="00722854" w:rsidRPr="005C54B7" w:rsidRDefault="00722854" w:rsidP="004249A6">
            <w:pPr>
              <w:rPr>
                <w:b/>
                <w:bCs/>
                <w:color w:val="000000"/>
                <w:sz w:val="16"/>
                <w:szCs w:val="16"/>
              </w:rPr>
            </w:pPr>
            <w:r w:rsidRPr="005C54B7">
              <w:rPr>
                <w:b/>
                <w:bCs/>
                <w:color w:val="000000"/>
                <w:sz w:val="16"/>
                <w:szCs w:val="16"/>
              </w:rPr>
              <w:t>Республика Дагестан</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50,6%</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33,6%</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29,2%</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25,5%</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-25,1%</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2F2F2"/>
            <w:noWrap/>
            <w:vAlign w:val="center"/>
            <w:hideMark/>
          </w:tcPr>
          <w:p w:rsidR="00722854" w:rsidRPr="005C54B7" w:rsidRDefault="00722854" w:rsidP="004249A6">
            <w:pPr>
              <w:rPr>
                <w:b/>
                <w:bCs/>
                <w:color w:val="000000"/>
                <w:sz w:val="16"/>
                <w:szCs w:val="16"/>
              </w:rPr>
            </w:pPr>
            <w:r w:rsidRPr="005C54B7">
              <w:rPr>
                <w:b/>
                <w:bCs/>
                <w:color w:val="000000"/>
                <w:sz w:val="16"/>
                <w:szCs w:val="16"/>
              </w:rPr>
              <w:t>Республика Ингушетия</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68,1%</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55,2%</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62,4%</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50,3%</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-17,8%</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BDD7EE"/>
            <w:noWrap/>
            <w:vAlign w:val="center"/>
            <w:hideMark/>
          </w:tcPr>
          <w:p w:rsidR="00722854" w:rsidRPr="005C54B7" w:rsidRDefault="00722854" w:rsidP="004249A6">
            <w:pPr>
              <w:rPr>
                <w:b/>
                <w:bCs/>
                <w:color w:val="000000"/>
                <w:sz w:val="16"/>
                <w:szCs w:val="16"/>
              </w:rPr>
            </w:pPr>
            <w:r w:rsidRPr="005C54B7">
              <w:rPr>
                <w:b/>
                <w:bCs/>
                <w:color w:val="000000"/>
                <w:sz w:val="16"/>
                <w:szCs w:val="16"/>
              </w:rPr>
              <w:t>Кабардино-Балкарская Республика</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FF0000"/>
                <w:sz w:val="16"/>
                <w:szCs w:val="16"/>
              </w:rPr>
            </w:pPr>
            <w:r w:rsidRPr="005C54B7">
              <w:rPr>
                <w:color w:val="FF0000"/>
                <w:sz w:val="16"/>
                <w:szCs w:val="16"/>
              </w:rPr>
              <w:t>124,1%</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86,3%</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66,8%</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60,6%</w:t>
            </w:r>
          </w:p>
        </w:tc>
        <w:tc>
          <w:tcPr>
            <w:tcW w:w="1343"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-63,5%</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BDD7EE"/>
            <w:noWrap/>
            <w:vAlign w:val="center"/>
            <w:hideMark/>
          </w:tcPr>
          <w:p w:rsidR="00722854" w:rsidRPr="005C54B7" w:rsidRDefault="00722854" w:rsidP="004249A6">
            <w:pPr>
              <w:rPr>
                <w:b/>
                <w:bCs/>
                <w:color w:val="000000"/>
                <w:sz w:val="16"/>
                <w:szCs w:val="16"/>
              </w:rPr>
            </w:pPr>
            <w:r w:rsidRPr="005C54B7">
              <w:rPr>
                <w:b/>
                <w:bCs/>
                <w:color w:val="000000"/>
                <w:sz w:val="16"/>
                <w:szCs w:val="16"/>
              </w:rPr>
              <w:t>Карачаево-Черкесская Республика</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91,2%</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84,7%</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79,9%</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80,6%</w:t>
            </w:r>
          </w:p>
        </w:tc>
        <w:tc>
          <w:tcPr>
            <w:tcW w:w="1343"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-10,6%</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BDD7EE"/>
            <w:noWrap/>
            <w:vAlign w:val="center"/>
            <w:hideMark/>
          </w:tcPr>
          <w:p w:rsidR="00722854" w:rsidRPr="005C54B7" w:rsidRDefault="00722854" w:rsidP="004249A6">
            <w:pPr>
              <w:rPr>
                <w:b/>
                <w:bCs/>
                <w:color w:val="000000"/>
                <w:sz w:val="16"/>
                <w:szCs w:val="16"/>
              </w:rPr>
            </w:pPr>
            <w:r w:rsidRPr="005C54B7">
              <w:rPr>
                <w:b/>
                <w:bCs/>
                <w:color w:val="000000"/>
                <w:sz w:val="16"/>
                <w:szCs w:val="16"/>
              </w:rPr>
              <w:t>Республика Северная Осетия - Алания</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89,5%</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79,5%</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69,8%</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66,4%</w:t>
            </w:r>
          </w:p>
        </w:tc>
        <w:tc>
          <w:tcPr>
            <w:tcW w:w="1343"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-23,0%</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2F2F2"/>
            <w:noWrap/>
            <w:vAlign w:val="center"/>
            <w:hideMark/>
          </w:tcPr>
          <w:p w:rsidR="00722854" w:rsidRPr="005C54B7" w:rsidRDefault="00722854" w:rsidP="004249A6">
            <w:pPr>
              <w:rPr>
                <w:b/>
                <w:bCs/>
                <w:color w:val="000000"/>
                <w:sz w:val="16"/>
                <w:szCs w:val="16"/>
              </w:rPr>
            </w:pPr>
            <w:r w:rsidRPr="005C54B7">
              <w:rPr>
                <w:b/>
                <w:bCs/>
                <w:color w:val="000000"/>
                <w:sz w:val="16"/>
                <w:szCs w:val="16"/>
              </w:rPr>
              <w:t>Чеченская Республика</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43,9%</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42,0%</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32,8%</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30,8%</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-13,1%</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FFFFF"/>
            <w:noWrap/>
            <w:vAlign w:val="center"/>
            <w:hideMark/>
          </w:tcPr>
          <w:p w:rsidR="00722854" w:rsidRPr="005C54B7" w:rsidRDefault="00722854" w:rsidP="004249A6">
            <w:pPr>
              <w:rPr>
                <w:b/>
                <w:bCs/>
                <w:color w:val="000000"/>
                <w:sz w:val="16"/>
                <w:szCs w:val="16"/>
              </w:rPr>
            </w:pPr>
            <w:r w:rsidRPr="005C54B7">
              <w:rPr>
                <w:b/>
                <w:bCs/>
                <w:color w:val="000000"/>
                <w:sz w:val="16"/>
                <w:szCs w:val="16"/>
              </w:rPr>
              <w:t>Ставропольский край</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61,0%</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50,1%</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45,5%</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54,9%</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-6,1%</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FFFFF"/>
            <w:noWrap/>
            <w:vAlign w:val="center"/>
            <w:hideMark/>
          </w:tcPr>
          <w:p w:rsidR="00722854" w:rsidRPr="005C54B7" w:rsidRDefault="00722854" w:rsidP="004249A6">
            <w:pPr>
              <w:rPr>
                <w:b/>
                <w:bCs/>
                <w:color w:val="000000"/>
                <w:sz w:val="16"/>
                <w:szCs w:val="16"/>
              </w:rPr>
            </w:pPr>
            <w:r w:rsidRPr="005C54B7">
              <w:rPr>
                <w:b/>
                <w:bCs/>
                <w:color w:val="000000"/>
                <w:sz w:val="16"/>
                <w:szCs w:val="16"/>
              </w:rPr>
              <w:t>Республика Башкортостан</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13,8%</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10,0%</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9,2%</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17,1%</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3,3%</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BDD7EE"/>
            <w:noWrap/>
            <w:vAlign w:val="center"/>
            <w:hideMark/>
          </w:tcPr>
          <w:p w:rsidR="00722854" w:rsidRPr="005C54B7" w:rsidRDefault="00722854" w:rsidP="004249A6">
            <w:pPr>
              <w:rPr>
                <w:b/>
                <w:bCs/>
                <w:color w:val="000000"/>
                <w:sz w:val="16"/>
                <w:szCs w:val="16"/>
              </w:rPr>
            </w:pPr>
            <w:r w:rsidRPr="005C54B7">
              <w:rPr>
                <w:b/>
                <w:bCs/>
                <w:color w:val="000000"/>
                <w:sz w:val="16"/>
                <w:szCs w:val="16"/>
              </w:rPr>
              <w:t>Республика Марий Эл</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81,0%</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85,5%</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69,6%</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68,8%</w:t>
            </w:r>
          </w:p>
        </w:tc>
        <w:tc>
          <w:tcPr>
            <w:tcW w:w="1343"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-12,2%</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FFFFF"/>
            <w:noWrap/>
            <w:vAlign w:val="center"/>
            <w:hideMark/>
          </w:tcPr>
          <w:p w:rsidR="00722854" w:rsidRPr="005C54B7" w:rsidRDefault="00722854" w:rsidP="004249A6">
            <w:pPr>
              <w:rPr>
                <w:b/>
                <w:bCs/>
                <w:color w:val="000000"/>
                <w:sz w:val="16"/>
                <w:szCs w:val="16"/>
              </w:rPr>
            </w:pPr>
            <w:r w:rsidRPr="005C54B7">
              <w:rPr>
                <w:b/>
                <w:bCs/>
                <w:color w:val="000000"/>
                <w:sz w:val="16"/>
                <w:szCs w:val="16"/>
              </w:rPr>
              <w:t>Республика Мордовия</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FF0000"/>
                <w:sz w:val="16"/>
                <w:szCs w:val="16"/>
              </w:rPr>
            </w:pPr>
            <w:r w:rsidRPr="005C54B7">
              <w:rPr>
                <w:color w:val="FF0000"/>
                <w:sz w:val="16"/>
                <w:szCs w:val="16"/>
              </w:rPr>
              <w:t>225,7%</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FF0000"/>
                <w:sz w:val="16"/>
                <w:szCs w:val="16"/>
              </w:rPr>
            </w:pPr>
            <w:r w:rsidRPr="005C54B7">
              <w:rPr>
                <w:color w:val="FF0000"/>
                <w:sz w:val="16"/>
                <w:szCs w:val="16"/>
              </w:rPr>
              <w:t>236,9%</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FF0000"/>
                <w:sz w:val="16"/>
                <w:szCs w:val="16"/>
              </w:rPr>
            </w:pPr>
            <w:r w:rsidRPr="005C54B7">
              <w:rPr>
                <w:color w:val="FF0000"/>
                <w:sz w:val="16"/>
                <w:szCs w:val="16"/>
              </w:rPr>
              <w:t>211,2%</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FF0000"/>
                <w:sz w:val="16"/>
                <w:szCs w:val="16"/>
              </w:rPr>
            </w:pPr>
            <w:r w:rsidRPr="005C54B7">
              <w:rPr>
                <w:color w:val="FF0000"/>
                <w:sz w:val="16"/>
                <w:szCs w:val="16"/>
              </w:rPr>
              <w:t>195,2%</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-30,6%</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2F2F2"/>
            <w:noWrap/>
            <w:vAlign w:val="center"/>
            <w:hideMark/>
          </w:tcPr>
          <w:p w:rsidR="00722854" w:rsidRPr="005C54B7" w:rsidRDefault="00722854" w:rsidP="004249A6">
            <w:pPr>
              <w:rPr>
                <w:b/>
                <w:bCs/>
                <w:color w:val="000000"/>
                <w:sz w:val="16"/>
                <w:szCs w:val="16"/>
              </w:rPr>
            </w:pPr>
            <w:r w:rsidRPr="005C54B7">
              <w:rPr>
                <w:b/>
                <w:bCs/>
                <w:color w:val="000000"/>
                <w:sz w:val="16"/>
                <w:szCs w:val="16"/>
              </w:rPr>
              <w:t>Республика Татарстан (Татарстан)</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43,7%</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40,4%</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37,5%</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47,5%</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3,8%</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FFFFF"/>
            <w:noWrap/>
            <w:vAlign w:val="center"/>
            <w:hideMark/>
          </w:tcPr>
          <w:p w:rsidR="00722854" w:rsidRPr="005C54B7" w:rsidRDefault="00722854" w:rsidP="004249A6">
            <w:pPr>
              <w:rPr>
                <w:b/>
                <w:bCs/>
                <w:color w:val="000000"/>
                <w:sz w:val="16"/>
                <w:szCs w:val="16"/>
              </w:rPr>
            </w:pPr>
            <w:r w:rsidRPr="005C54B7">
              <w:rPr>
                <w:b/>
                <w:bCs/>
                <w:color w:val="000000"/>
                <w:sz w:val="16"/>
                <w:szCs w:val="16"/>
              </w:rPr>
              <w:t>Удмуртская Республика</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93,9%</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85,7%</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80,2%</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FF0000"/>
                <w:sz w:val="16"/>
                <w:szCs w:val="16"/>
              </w:rPr>
            </w:pPr>
            <w:r w:rsidRPr="005C54B7">
              <w:rPr>
                <w:color w:val="FF0000"/>
                <w:sz w:val="16"/>
                <w:szCs w:val="16"/>
              </w:rPr>
              <w:t>130,0%</w:t>
            </w:r>
          </w:p>
        </w:tc>
        <w:tc>
          <w:tcPr>
            <w:tcW w:w="1343" w:type="dxa"/>
            <w:tcBorders>
              <w:top w:val="nil"/>
              <w:left w:val="nil"/>
              <w:bottom w:val="single" w:sz="4" w:space="0" w:color="auto"/>
              <w:right w:val="single" w:sz="4" w:space="0" w:color="auto"/>
            </w:tcBorders>
            <w:shd w:val="clear" w:color="000000" w:fill="E2EFDA"/>
            <w:noWrap/>
            <w:vAlign w:val="center"/>
            <w:hideMark/>
          </w:tcPr>
          <w:p w:rsidR="00722854" w:rsidRPr="005C54B7" w:rsidRDefault="00722854" w:rsidP="004249A6">
            <w:pPr>
              <w:jc w:val="center"/>
              <w:rPr>
                <w:color w:val="000000"/>
                <w:sz w:val="16"/>
                <w:szCs w:val="16"/>
              </w:rPr>
            </w:pPr>
            <w:r w:rsidRPr="005C54B7">
              <w:rPr>
                <w:color w:val="000000"/>
                <w:sz w:val="16"/>
                <w:szCs w:val="16"/>
              </w:rPr>
              <w:t>36,1%</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2F2F2"/>
            <w:noWrap/>
            <w:vAlign w:val="center"/>
            <w:hideMark/>
          </w:tcPr>
          <w:p w:rsidR="00722854" w:rsidRPr="005C54B7" w:rsidRDefault="00722854" w:rsidP="004249A6">
            <w:pPr>
              <w:rPr>
                <w:b/>
                <w:bCs/>
                <w:color w:val="000000"/>
                <w:sz w:val="16"/>
                <w:szCs w:val="16"/>
              </w:rPr>
            </w:pPr>
            <w:r w:rsidRPr="005C54B7">
              <w:rPr>
                <w:b/>
                <w:bCs/>
                <w:color w:val="000000"/>
                <w:sz w:val="16"/>
                <w:szCs w:val="16"/>
              </w:rPr>
              <w:t>Чувашская Республика - Чувашия</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52,9%</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43,4%</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33,8%</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28,4%</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-24,4%</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FFFFF"/>
            <w:noWrap/>
            <w:vAlign w:val="center"/>
            <w:hideMark/>
          </w:tcPr>
          <w:p w:rsidR="00722854" w:rsidRPr="005C54B7" w:rsidRDefault="00722854" w:rsidP="004249A6">
            <w:pPr>
              <w:rPr>
                <w:b/>
                <w:bCs/>
                <w:color w:val="000000"/>
                <w:sz w:val="16"/>
                <w:szCs w:val="16"/>
              </w:rPr>
            </w:pPr>
            <w:r w:rsidRPr="005C54B7">
              <w:rPr>
                <w:b/>
                <w:bCs/>
                <w:color w:val="000000"/>
                <w:sz w:val="16"/>
                <w:szCs w:val="16"/>
              </w:rPr>
              <w:t>Пермский край</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18,3%</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16,8%</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14,4%</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40,6%</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22,3%</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2F2F2"/>
            <w:noWrap/>
            <w:vAlign w:val="center"/>
            <w:hideMark/>
          </w:tcPr>
          <w:p w:rsidR="00722854" w:rsidRPr="005C54B7" w:rsidRDefault="00722854" w:rsidP="004249A6">
            <w:pPr>
              <w:rPr>
                <w:b/>
                <w:bCs/>
                <w:color w:val="000000"/>
                <w:sz w:val="16"/>
                <w:szCs w:val="16"/>
              </w:rPr>
            </w:pPr>
            <w:r w:rsidRPr="005C54B7">
              <w:rPr>
                <w:b/>
                <w:bCs/>
                <w:color w:val="000000"/>
                <w:sz w:val="16"/>
                <w:szCs w:val="16"/>
              </w:rPr>
              <w:t>Кировская область</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90,7%</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81,3%</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72,2%</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72,6%</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-18,0%</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FFFFF"/>
            <w:noWrap/>
            <w:vAlign w:val="center"/>
            <w:hideMark/>
          </w:tcPr>
          <w:p w:rsidR="00722854" w:rsidRPr="005C54B7" w:rsidRDefault="00722854" w:rsidP="004249A6">
            <w:pPr>
              <w:rPr>
                <w:b/>
                <w:bCs/>
                <w:color w:val="000000"/>
                <w:sz w:val="16"/>
                <w:szCs w:val="16"/>
              </w:rPr>
            </w:pPr>
            <w:r w:rsidRPr="005C54B7">
              <w:rPr>
                <w:b/>
                <w:bCs/>
                <w:color w:val="000000"/>
                <w:sz w:val="16"/>
                <w:szCs w:val="16"/>
              </w:rPr>
              <w:t>Нижегородская область</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63,5%</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55,9%</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51,1%</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59,5%</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-4,1%</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2F2F2"/>
            <w:noWrap/>
            <w:vAlign w:val="center"/>
            <w:hideMark/>
          </w:tcPr>
          <w:p w:rsidR="00722854" w:rsidRPr="005C54B7" w:rsidRDefault="00722854" w:rsidP="004249A6">
            <w:pPr>
              <w:rPr>
                <w:b/>
                <w:bCs/>
                <w:color w:val="000000"/>
                <w:sz w:val="16"/>
                <w:szCs w:val="16"/>
              </w:rPr>
            </w:pPr>
            <w:r w:rsidRPr="005C54B7">
              <w:rPr>
                <w:b/>
                <w:bCs/>
                <w:color w:val="000000"/>
                <w:sz w:val="16"/>
                <w:szCs w:val="16"/>
              </w:rPr>
              <w:t>Оренбургская область</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45,6%</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33,4%</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29,7%</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32,8%</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-12,9%</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FFFFF"/>
            <w:noWrap/>
            <w:vAlign w:val="center"/>
            <w:hideMark/>
          </w:tcPr>
          <w:p w:rsidR="00722854" w:rsidRPr="005C54B7" w:rsidRDefault="00722854" w:rsidP="004249A6">
            <w:pPr>
              <w:rPr>
                <w:b/>
                <w:bCs/>
                <w:color w:val="000000"/>
                <w:sz w:val="16"/>
                <w:szCs w:val="16"/>
              </w:rPr>
            </w:pPr>
            <w:r w:rsidRPr="005C54B7">
              <w:rPr>
                <w:b/>
                <w:bCs/>
                <w:color w:val="000000"/>
                <w:sz w:val="16"/>
                <w:szCs w:val="16"/>
              </w:rPr>
              <w:t>Пензенская область</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62,6%</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58,5%</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57,6%</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55,1%</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-7,5%</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2F2F2"/>
            <w:noWrap/>
            <w:vAlign w:val="center"/>
            <w:hideMark/>
          </w:tcPr>
          <w:p w:rsidR="00722854" w:rsidRPr="005C54B7" w:rsidRDefault="00722854" w:rsidP="004249A6">
            <w:pPr>
              <w:rPr>
                <w:b/>
                <w:bCs/>
                <w:color w:val="000000"/>
                <w:sz w:val="16"/>
                <w:szCs w:val="16"/>
              </w:rPr>
            </w:pPr>
            <w:r w:rsidRPr="005C54B7">
              <w:rPr>
                <w:b/>
                <w:bCs/>
                <w:color w:val="000000"/>
                <w:sz w:val="16"/>
                <w:szCs w:val="16"/>
              </w:rPr>
              <w:t>Самарская область</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50,7%</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37,5%</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32,7%</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32,5%</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-18,2%</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FFFFF"/>
            <w:noWrap/>
            <w:vAlign w:val="center"/>
            <w:hideMark/>
          </w:tcPr>
          <w:p w:rsidR="00722854" w:rsidRPr="005C54B7" w:rsidRDefault="00722854" w:rsidP="004249A6">
            <w:pPr>
              <w:rPr>
                <w:b/>
                <w:bCs/>
                <w:color w:val="000000"/>
                <w:sz w:val="16"/>
                <w:szCs w:val="16"/>
              </w:rPr>
            </w:pPr>
            <w:r w:rsidRPr="005C54B7">
              <w:rPr>
                <w:b/>
                <w:bCs/>
                <w:color w:val="000000"/>
                <w:sz w:val="16"/>
                <w:szCs w:val="16"/>
              </w:rPr>
              <w:t>Саратовская область</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83,3%</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70,9%</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67,8%</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76,1%</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-7,2%</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2F2F2"/>
            <w:noWrap/>
            <w:vAlign w:val="center"/>
            <w:hideMark/>
          </w:tcPr>
          <w:p w:rsidR="00722854" w:rsidRPr="005C54B7" w:rsidRDefault="00722854" w:rsidP="004249A6">
            <w:pPr>
              <w:rPr>
                <w:b/>
                <w:bCs/>
                <w:color w:val="000000"/>
                <w:sz w:val="16"/>
                <w:szCs w:val="16"/>
              </w:rPr>
            </w:pPr>
            <w:r w:rsidRPr="005C54B7">
              <w:rPr>
                <w:b/>
                <w:bCs/>
                <w:color w:val="000000"/>
                <w:sz w:val="16"/>
                <w:szCs w:val="16"/>
              </w:rPr>
              <w:t>Ульяновская область</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63,6%</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55,4%</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53,4%</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71,3%</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7,8%</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BDD7EE"/>
            <w:noWrap/>
            <w:vAlign w:val="center"/>
            <w:hideMark/>
          </w:tcPr>
          <w:p w:rsidR="00722854" w:rsidRPr="005C54B7" w:rsidRDefault="00722854" w:rsidP="004249A6">
            <w:pPr>
              <w:rPr>
                <w:b/>
                <w:bCs/>
                <w:color w:val="000000"/>
                <w:sz w:val="16"/>
                <w:szCs w:val="16"/>
              </w:rPr>
            </w:pPr>
            <w:r w:rsidRPr="005C54B7">
              <w:rPr>
                <w:b/>
                <w:bCs/>
                <w:color w:val="000000"/>
                <w:sz w:val="16"/>
                <w:szCs w:val="16"/>
              </w:rPr>
              <w:t>Курганская область</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92,7%</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88,3%</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83,4%</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76,4%</w:t>
            </w:r>
          </w:p>
        </w:tc>
        <w:tc>
          <w:tcPr>
            <w:tcW w:w="1343"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-16,4%</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2F2F2"/>
            <w:noWrap/>
            <w:vAlign w:val="center"/>
            <w:hideMark/>
          </w:tcPr>
          <w:p w:rsidR="00722854" w:rsidRPr="005C54B7" w:rsidRDefault="00722854" w:rsidP="004249A6">
            <w:pPr>
              <w:rPr>
                <w:b/>
                <w:bCs/>
                <w:color w:val="000000"/>
                <w:sz w:val="16"/>
                <w:szCs w:val="16"/>
              </w:rPr>
            </w:pPr>
            <w:r w:rsidRPr="005C54B7">
              <w:rPr>
                <w:b/>
                <w:bCs/>
                <w:color w:val="000000"/>
                <w:sz w:val="16"/>
                <w:szCs w:val="16"/>
              </w:rPr>
              <w:t>Свердловская область</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38,9%</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32,6%</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35,1%</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52,9%</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14,0%</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FFFFF"/>
            <w:noWrap/>
            <w:vAlign w:val="center"/>
            <w:hideMark/>
          </w:tcPr>
          <w:p w:rsidR="00722854" w:rsidRPr="005C54B7" w:rsidRDefault="00722854" w:rsidP="004249A6">
            <w:pPr>
              <w:rPr>
                <w:b/>
                <w:bCs/>
                <w:color w:val="000000"/>
                <w:sz w:val="16"/>
                <w:szCs w:val="16"/>
              </w:rPr>
            </w:pPr>
            <w:r w:rsidRPr="005C54B7">
              <w:rPr>
                <w:b/>
                <w:bCs/>
                <w:color w:val="000000"/>
                <w:sz w:val="16"/>
                <w:szCs w:val="16"/>
              </w:rPr>
              <w:t>Тюменская область</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1,2%</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1,8%</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1,5%</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1,8%</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0,6%</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2F2F2"/>
            <w:noWrap/>
            <w:vAlign w:val="center"/>
            <w:hideMark/>
          </w:tcPr>
          <w:p w:rsidR="00722854" w:rsidRPr="005C54B7" w:rsidRDefault="00722854" w:rsidP="004249A6">
            <w:pPr>
              <w:rPr>
                <w:b/>
                <w:bCs/>
                <w:color w:val="000000"/>
                <w:sz w:val="16"/>
                <w:szCs w:val="16"/>
              </w:rPr>
            </w:pPr>
            <w:r w:rsidRPr="005C54B7">
              <w:rPr>
                <w:b/>
                <w:bCs/>
                <w:color w:val="000000"/>
                <w:sz w:val="16"/>
                <w:szCs w:val="16"/>
              </w:rPr>
              <w:t>Челябинская область</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13,3%</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11,9%</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11,7%</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20,1%</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6,8%</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FFFFF"/>
            <w:noWrap/>
            <w:vAlign w:val="center"/>
            <w:hideMark/>
          </w:tcPr>
          <w:p w:rsidR="00722854" w:rsidRPr="005C54B7" w:rsidRDefault="00722854" w:rsidP="004249A6">
            <w:pPr>
              <w:rPr>
                <w:b/>
                <w:bCs/>
                <w:color w:val="000000"/>
                <w:sz w:val="16"/>
                <w:szCs w:val="16"/>
              </w:rPr>
            </w:pPr>
            <w:r>
              <w:rPr>
                <w:b/>
                <w:bCs/>
                <w:color w:val="000000"/>
                <w:sz w:val="16"/>
                <w:szCs w:val="16"/>
              </w:rPr>
              <w:t>ХМАО</w:t>
            </w:r>
            <w:r w:rsidRPr="005C54B7">
              <w:rPr>
                <w:b/>
                <w:bCs/>
                <w:color w:val="000000"/>
                <w:sz w:val="16"/>
                <w:szCs w:val="16"/>
              </w:rPr>
              <w:t xml:space="preserve"> - Югра</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11,2%</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5,6%</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5,7%</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4,8%</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-6,4%</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2F2F2"/>
            <w:noWrap/>
            <w:vAlign w:val="center"/>
            <w:hideMark/>
          </w:tcPr>
          <w:p w:rsidR="00722854" w:rsidRPr="005C54B7" w:rsidRDefault="00722854" w:rsidP="004249A6">
            <w:pPr>
              <w:rPr>
                <w:b/>
                <w:bCs/>
                <w:color w:val="000000"/>
                <w:sz w:val="16"/>
                <w:szCs w:val="16"/>
              </w:rPr>
            </w:pPr>
            <w:r w:rsidRPr="005C54B7">
              <w:rPr>
                <w:b/>
                <w:bCs/>
                <w:color w:val="000000"/>
                <w:sz w:val="16"/>
                <w:szCs w:val="16"/>
              </w:rPr>
              <w:t>Ямало-Ненецкий автономный округ</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15,9%</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8,7%</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7,3%</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5,4%</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-10,4%</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FFFFF"/>
            <w:noWrap/>
            <w:vAlign w:val="center"/>
            <w:hideMark/>
          </w:tcPr>
          <w:p w:rsidR="00722854" w:rsidRPr="005C54B7" w:rsidRDefault="00722854" w:rsidP="004249A6">
            <w:pPr>
              <w:rPr>
                <w:b/>
                <w:bCs/>
                <w:color w:val="000000"/>
                <w:sz w:val="16"/>
                <w:szCs w:val="16"/>
              </w:rPr>
            </w:pPr>
            <w:r w:rsidRPr="005C54B7">
              <w:rPr>
                <w:b/>
                <w:bCs/>
                <w:color w:val="000000"/>
                <w:sz w:val="16"/>
                <w:szCs w:val="16"/>
              </w:rPr>
              <w:t>Республика Алтай</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45,2%</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38,5%</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33,8%</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29,2%</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-16,0%</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2F2F2"/>
            <w:noWrap/>
            <w:vAlign w:val="center"/>
            <w:hideMark/>
          </w:tcPr>
          <w:p w:rsidR="00722854" w:rsidRPr="005C54B7" w:rsidRDefault="00722854" w:rsidP="004249A6">
            <w:pPr>
              <w:rPr>
                <w:b/>
                <w:bCs/>
                <w:color w:val="000000"/>
                <w:sz w:val="16"/>
                <w:szCs w:val="16"/>
              </w:rPr>
            </w:pPr>
            <w:r w:rsidRPr="005C54B7">
              <w:rPr>
                <w:b/>
                <w:bCs/>
                <w:color w:val="000000"/>
                <w:sz w:val="16"/>
                <w:szCs w:val="16"/>
              </w:rPr>
              <w:t>Республика Тыва</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48,6%</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40,0%</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33,6%</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37,1%</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-11,5%</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FFFFF"/>
            <w:noWrap/>
            <w:vAlign w:val="center"/>
            <w:hideMark/>
          </w:tcPr>
          <w:p w:rsidR="00722854" w:rsidRPr="005C54B7" w:rsidRDefault="00722854" w:rsidP="004249A6">
            <w:pPr>
              <w:rPr>
                <w:b/>
                <w:bCs/>
                <w:color w:val="000000"/>
                <w:sz w:val="16"/>
                <w:szCs w:val="16"/>
              </w:rPr>
            </w:pPr>
            <w:r w:rsidRPr="005C54B7">
              <w:rPr>
                <w:b/>
                <w:bCs/>
                <w:color w:val="000000"/>
                <w:sz w:val="16"/>
                <w:szCs w:val="16"/>
              </w:rPr>
              <w:t>Республика Хакасия</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FF0000"/>
                <w:sz w:val="16"/>
                <w:szCs w:val="16"/>
              </w:rPr>
            </w:pPr>
            <w:r w:rsidRPr="005C54B7">
              <w:rPr>
                <w:color w:val="FF0000"/>
                <w:sz w:val="16"/>
                <w:szCs w:val="16"/>
              </w:rPr>
              <w:t>136,4%</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90,4%</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98,4%</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FF0000"/>
                <w:sz w:val="16"/>
                <w:szCs w:val="16"/>
              </w:rPr>
            </w:pPr>
            <w:r w:rsidRPr="005C54B7">
              <w:rPr>
                <w:color w:val="FF0000"/>
                <w:sz w:val="16"/>
                <w:szCs w:val="16"/>
              </w:rPr>
              <w:t>137,5%</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1,1%</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BDD7EE"/>
            <w:noWrap/>
            <w:vAlign w:val="center"/>
            <w:hideMark/>
          </w:tcPr>
          <w:p w:rsidR="00722854" w:rsidRPr="005C54B7" w:rsidRDefault="00722854" w:rsidP="004249A6">
            <w:pPr>
              <w:rPr>
                <w:b/>
                <w:bCs/>
                <w:color w:val="000000"/>
                <w:sz w:val="16"/>
                <w:szCs w:val="16"/>
              </w:rPr>
            </w:pPr>
            <w:r w:rsidRPr="005C54B7">
              <w:rPr>
                <w:b/>
                <w:bCs/>
                <w:color w:val="000000"/>
                <w:sz w:val="16"/>
                <w:szCs w:val="16"/>
              </w:rPr>
              <w:t>Алтайский край</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4,1%</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3,6%</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3,2%</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3,1%</w:t>
            </w:r>
          </w:p>
        </w:tc>
        <w:tc>
          <w:tcPr>
            <w:tcW w:w="1343"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-1,0%</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FFFFF"/>
            <w:noWrap/>
            <w:vAlign w:val="center"/>
            <w:hideMark/>
          </w:tcPr>
          <w:p w:rsidR="00722854" w:rsidRPr="005C54B7" w:rsidRDefault="00722854" w:rsidP="004249A6">
            <w:pPr>
              <w:rPr>
                <w:b/>
                <w:bCs/>
                <w:color w:val="000000"/>
                <w:sz w:val="16"/>
                <w:szCs w:val="16"/>
              </w:rPr>
            </w:pPr>
            <w:r w:rsidRPr="005C54B7">
              <w:rPr>
                <w:b/>
                <w:bCs/>
                <w:color w:val="000000"/>
                <w:sz w:val="16"/>
                <w:szCs w:val="16"/>
              </w:rPr>
              <w:t>Красноярский край</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57,4%</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52,3%</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32,9%</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33,7%</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-23,7%</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2F2F2"/>
            <w:noWrap/>
            <w:vAlign w:val="center"/>
            <w:hideMark/>
          </w:tcPr>
          <w:p w:rsidR="00722854" w:rsidRPr="005C54B7" w:rsidRDefault="00722854" w:rsidP="004249A6">
            <w:pPr>
              <w:rPr>
                <w:b/>
                <w:bCs/>
                <w:color w:val="000000"/>
                <w:sz w:val="16"/>
                <w:szCs w:val="16"/>
              </w:rPr>
            </w:pPr>
            <w:r w:rsidRPr="005C54B7">
              <w:rPr>
                <w:b/>
                <w:bCs/>
                <w:color w:val="000000"/>
                <w:sz w:val="16"/>
                <w:szCs w:val="16"/>
              </w:rPr>
              <w:t>Иркутская область</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16,3%</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8,9%</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11,8%</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21,3%</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5,0%</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FFFFF"/>
            <w:noWrap/>
            <w:vAlign w:val="center"/>
            <w:hideMark/>
          </w:tcPr>
          <w:p w:rsidR="00722854" w:rsidRPr="005C54B7" w:rsidRDefault="00722854" w:rsidP="004249A6">
            <w:pPr>
              <w:rPr>
                <w:b/>
                <w:bCs/>
                <w:color w:val="000000"/>
                <w:sz w:val="16"/>
                <w:szCs w:val="16"/>
              </w:rPr>
            </w:pPr>
            <w:r w:rsidRPr="005C54B7">
              <w:rPr>
                <w:b/>
                <w:bCs/>
                <w:color w:val="000000"/>
                <w:sz w:val="16"/>
                <w:szCs w:val="16"/>
              </w:rPr>
              <w:t>Кемеровская область - Кузбасс</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49,7%</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24,4%</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26,3%</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60,1%</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10,3%</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2F2F2"/>
            <w:noWrap/>
            <w:vAlign w:val="center"/>
            <w:hideMark/>
          </w:tcPr>
          <w:p w:rsidR="00722854" w:rsidRPr="005C54B7" w:rsidRDefault="00722854" w:rsidP="004249A6">
            <w:pPr>
              <w:rPr>
                <w:b/>
                <w:bCs/>
                <w:color w:val="000000"/>
                <w:sz w:val="16"/>
                <w:szCs w:val="16"/>
              </w:rPr>
            </w:pPr>
            <w:r w:rsidRPr="005C54B7">
              <w:rPr>
                <w:b/>
                <w:bCs/>
                <w:color w:val="000000"/>
                <w:sz w:val="16"/>
                <w:szCs w:val="16"/>
              </w:rPr>
              <w:t>Новосибирская область</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44,2%</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36,1%</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35,3%</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38,4%</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-5,8%</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FFFFF"/>
            <w:noWrap/>
            <w:vAlign w:val="center"/>
            <w:hideMark/>
          </w:tcPr>
          <w:p w:rsidR="00722854" w:rsidRPr="005C54B7" w:rsidRDefault="00722854" w:rsidP="004249A6">
            <w:pPr>
              <w:rPr>
                <w:b/>
                <w:bCs/>
                <w:color w:val="000000"/>
                <w:sz w:val="16"/>
                <w:szCs w:val="16"/>
              </w:rPr>
            </w:pPr>
            <w:r w:rsidRPr="005C54B7">
              <w:rPr>
                <w:b/>
                <w:bCs/>
                <w:color w:val="000000"/>
                <w:sz w:val="16"/>
                <w:szCs w:val="16"/>
              </w:rPr>
              <w:t>Омская область</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77,2%</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69,1%</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64,2%</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64,9%</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-12,3%</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2F2F2"/>
            <w:noWrap/>
            <w:vAlign w:val="center"/>
            <w:hideMark/>
          </w:tcPr>
          <w:p w:rsidR="00722854" w:rsidRPr="005C54B7" w:rsidRDefault="00722854" w:rsidP="004249A6">
            <w:pPr>
              <w:rPr>
                <w:b/>
                <w:bCs/>
                <w:color w:val="000000"/>
                <w:sz w:val="16"/>
                <w:szCs w:val="16"/>
              </w:rPr>
            </w:pPr>
            <w:r w:rsidRPr="005C54B7">
              <w:rPr>
                <w:b/>
                <w:bCs/>
                <w:color w:val="000000"/>
                <w:sz w:val="16"/>
                <w:szCs w:val="16"/>
              </w:rPr>
              <w:t>Томская область</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69,0%</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58,8%</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65,6%</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93,0%</w:t>
            </w:r>
          </w:p>
        </w:tc>
        <w:tc>
          <w:tcPr>
            <w:tcW w:w="1343" w:type="dxa"/>
            <w:tcBorders>
              <w:top w:val="nil"/>
              <w:left w:val="nil"/>
              <w:bottom w:val="single" w:sz="4" w:space="0" w:color="auto"/>
              <w:right w:val="single" w:sz="4" w:space="0" w:color="auto"/>
            </w:tcBorders>
            <w:shd w:val="clear" w:color="000000" w:fill="E2EFDA"/>
            <w:noWrap/>
            <w:vAlign w:val="center"/>
            <w:hideMark/>
          </w:tcPr>
          <w:p w:rsidR="00722854" w:rsidRPr="005C54B7" w:rsidRDefault="00722854" w:rsidP="004249A6">
            <w:pPr>
              <w:jc w:val="center"/>
              <w:rPr>
                <w:color w:val="000000"/>
                <w:sz w:val="16"/>
                <w:szCs w:val="16"/>
              </w:rPr>
            </w:pPr>
            <w:r w:rsidRPr="005C54B7">
              <w:rPr>
                <w:color w:val="000000"/>
                <w:sz w:val="16"/>
                <w:szCs w:val="16"/>
              </w:rPr>
              <w:t>24,0%</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BDD7EE"/>
            <w:noWrap/>
            <w:vAlign w:val="center"/>
            <w:hideMark/>
          </w:tcPr>
          <w:p w:rsidR="00722854" w:rsidRPr="005C54B7" w:rsidRDefault="00722854" w:rsidP="004249A6">
            <w:pPr>
              <w:rPr>
                <w:b/>
                <w:bCs/>
                <w:color w:val="000000"/>
                <w:sz w:val="16"/>
                <w:szCs w:val="16"/>
              </w:rPr>
            </w:pPr>
            <w:r w:rsidRPr="005C54B7">
              <w:rPr>
                <w:b/>
                <w:bCs/>
                <w:color w:val="000000"/>
                <w:sz w:val="16"/>
                <w:szCs w:val="16"/>
              </w:rPr>
              <w:t>Республика Бурятия</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49,2%</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46,0%</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43,3%</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49,4%</w:t>
            </w:r>
          </w:p>
        </w:tc>
        <w:tc>
          <w:tcPr>
            <w:tcW w:w="1343"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0,2%</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BDD7EE"/>
            <w:noWrap/>
            <w:vAlign w:val="center"/>
            <w:hideMark/>
          </w:tcPr>
          <w:p w:rsidR="00722854" w:rsidRPr="005C54B7" w:rsidRDefault="00722854" w:rsidP="004249A6">
            <w:pPr>
              <w:rPr>
                <w:b/>
                <w:bCs/>
                <w:color w:val="000000"/>
                <w:sz w:val="16"/>
                <w:szCs w:val="16"/>
              </w:rPr>
            </w:pPr>
            <w:r w:rsidRPr="005C54B7">
              <w:rPr>
                <w:b/>
                <w:bCs/>
                <w:color w:val="000000"/>
                <w:sz w:val="16"/>
                <w:szCs w:val="16"/>
              </w:rPr>
              <w:t>Республика Саха (Якутия)</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46,2%</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36,4%</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37,2%</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38,0%</w:t>
            </w:r>
          </w:p>
        </w:tc>
        <w:tc>
          <w:tcPr>
            <w:tcW w:w="1343"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-8,3%</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BDD7EE"/>
            <w:noWrap/>
            <w:vAlign w:val="center"/>
            <w:hideMark/>
          </w:tcPr>
          <w:p w:rsidR="00722854" w:rsidRPr="005C54B7" w:rsidRDefault="00722854" w:rsidP="004249A6">
            <w:pPr>
              <w:rPr>
                <w:b/>
                <w:bCs/>
                <w:sz w:val="16"/>
                <w:szCs w:val="16"/>
              </w:rPr>
            </w:pPr>
            <w:r w:rsidRPr="005C54B7">
              <w:rPr>
                <w:b/>
                <w:bCs/>
                <w:sz w:val="16"/>
                <w:szCs w:val="16"/>
              </w:rPr>
              <w:t>Забайкальский край</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90,9%</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80,7%</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70,3%</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74,2%</w:t>
            </w:r>
          </w:p>
        </w:tc>
        <w:tc>
          <w:tcPr>
            <w:tcW w:w="1343"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-16,8%</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2F2F2"/>
            <w:noWrap/>
            <w:vAlign w:val="center"/>
            <w:hideMark/>
          </w:tcPr>
          <w:p w:rsidR="00722854" w:rsidRPr="005C54B7" w:rsidRDefault="00722854" w:rsidP="004249A6">
            <w:pPr>
              <w:rPr>
                <w:b/>
                <w:bCs/>
                <w:color w:val="000000"/>
                <w:sz w:val="16"/>
                <w:szCs w:val="16"/>
              </w:rPr>
            </w:pPr>
            <w:r w:rsidRPr="005C54B7">
              <w:rPr>
                <w:b/>
                <w:bCs/>
                <w:color w:val="000000"/>
                <w:sz w:val="16"/>
                <w:szCs w:val="16"/>
              </w:rPr>
              <w:t>Камчатский край</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21,9%</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17,7%</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15,3%</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26,6%</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4,7%</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FFFFF"/>
            <w:noWrap/>
            <w:vAlign w:val="center"/>
            <w:hideMark/>
          </w:tcPr>
          <w:p w:rsidR="00722854" w:rsidRPr="005C54B7" w:rsidRDefault="00722854" w:rsidP="004249A6">
            <w:pPr>
              <w:rPr>
                <w:b/>
                <w:bCs/>
                <w:color w:val="000000"/>
                <w:sz w:val="16"/>
                <w:szCs w:val="16"/>
              </w:rPr>
            </w:pPr>
            <w:r w:rsidRPr="005C54B7">
              <w:rPr>
                <w:b/>
                <w:bCs/>
                <w:color w:val="000000"/>
                <w:sz w:val="16"/>
                <w:szCs w:val="16"/>
              </w:rPr>
              <w:t>Приморский край</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5,8%</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6,1%</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5,2%</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5,1%</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-0,7%</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2F2F2"/>
            <w:noWrap/>
            <w:vAlign w:val="center"/>
            <w:hideMark/>
          </w:tcPr>
          <w:p w:rsidR="00722854" w:rsidRPr="005C54B7" w:rsidRDefault="00722854" w:rsidP="004249A6">
            <w:pPr>
              <w:rPr>
                <w:b/>
                <w:bCs/>
                <w:color w:val="000000"/>
                <w:sz w:val="16"/>
                <w:szCs w:val="16"/>
              </w:rPr>
            </w:pPr>
            <w:r w:rsidRPr="005C54B7">
              <w:rPr>
                <w:b/>
                <w:bCs/>
                <w:color w:val="000000"/>
                <w:sz w:val="16"/>
                <w:szCs w:val="16"/>
              </w:rPr>
              <w:t>Хабаровский край</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59,1%</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66,3%</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64,9%</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69,4%</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10,4%</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FFFFF"/>
            <w:noWrap/>
            <w:vAlign w:val="center"/>
            <w:hideMark/>
          </w:tcPr>
          <w:p w:rsidR="00722854" w:rsidRPr="005C54B7" w:rsidRDefault="00722854" w:rsidP="004249A6">
            <w:pPr>
              <w:rPr>
                <w:b/>
                <w:bCs/>
                <w:color w:val="000000"/>
                <w:sz w:val="16"/>
                <w:szCs w:val="16"/>
              </w:rPr>
            </w:pPr>
            <w:r w:rsidRPr="005C54B7">
              <w:rPr>
                <w:b/>
                <w:bCs/>
                <w:color w:val="000000"/>
                <w:sz w:val="16"/>
                <w:szCs w:val="16"/>
              </w:rPr>
              <w:t>Амурская область</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72,5%</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69,3%</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55,6%</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46,3%</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-26,1%</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BDD7EE"/>
            <w:noWrap/>
            <w:vAlign w:val="center"/>
            <w:hideMark/>
          </w:tcPr>
          <w:p w:rsidR="00722854" w:rsidRPr="005C54B7" w:rsidRDefault="00722854" w:rsidP="004249A6">
            <w:pPr>
              <w:rPr>
                <w:b/>
                <w:bCs/>
                <w:color w:val="000000"/>
                <w:sz w:val="16"/>
                <w:szCs w:val="16"/>
              </w:rPr>
            </w:pPr>
            <w:r w:rsidRPr="005C54B7">
              <w:rPr>
                <w:b/>
                <w:bCs/>
                <w:color w:val="000000"/>
                <w:sz w:val="16"/>
                <w:szCs w:val="16"/>
              </w:rPr>
              <w:t>Магаданская область</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72,7%</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71,1%</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61,5%</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44,3%</w:t>
            </w:r>
          </w:p>
        </w:tc>
        <w:tc>
          <w:tcPr>
            <w:tcW w:w="1343"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-28,5%</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FFFFFF"/>
            <w:noWrap/>
            <w:vAlign w:val="center"/>
            <w:hideMark/>
          </w:tcPr>
          <w:p w:rsidR="00722854" w:rsidRPr="005C54B7" w:rsidRDefault="00722854" w:rsidP="004249A6">
            <w:pPr>
              <w:rPr>
                <w:b/>
                <w:bCs/>
                <w:color w:val="000000"/>
                <w:sz w:val="16"/>
                <w:szCs w:val="16"/>
              </w:rPr>
            </w:pPr>
            <w:r w:rsidRPr="005C54B7">
              <w:rPr>
                <w:b/>
                <w:bCs/>
                <w:color w:val="000000"/>
                <w:sz w:val="16"/>
                <w:szCs w:val="16"/>
              </w:rPr>
              <w:t>Сахалинская область</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0,0%</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0,0%</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0,0%</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5,5%</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5,5%</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BDD7EE"/>
            <w:noWrap/>
            <w:vAlign w:val="center"/>
            <w:hideMark/>
          </w:tcPr>
          <w:p w:rsidR="00722854" w:rsidRPr="005C54B7" w:rsidRDefault="00722854" w:rsidP="004249A6">
            <w:pPr>
              <w:rPr>
                <w:b/>
                <w:bCs/>
                <w:color w:val="000000"/>
                <w:sz w:val="16"/>
                <w:szCs w:val="16"/>
              </w:rPr>
            </w:pPr>
            <w:r w:rsidRPr="005C54B7">
              <w:rPr>
                <w:b/>
                <w:bCs/>
                <w:color w:val="000000"/>
                <w:sz w:val="16"/>
                <w:szCs w:val="16"/>
              </w:rPr>
              <w:t>Еврейская АО</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93,5%</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89,8%</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85,0%</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78,6%</w:t>
            </w:r>
          </w:p>
        </w:tc>
        <w:tc>
          <w:tcPr>
            <w:tcW w:w="1343"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-15,0%</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BDD7EE"/>
            <w:noWrap/>
            <w:vAlign w:val="center"/>
            <w:hideMark/>
          </w:tcPr>
          <w:p w:rsidR="00722854" w:rsidRPr="005C54B7" w:rsidRDefault="00722854" w:rsidP="004249A6">
            <w:pPr>
              <w:rPr>
                <w:b/>
                <w:bCs/>
                <w:color w:val="000000"/>
                <w:sz w:val="16"/>
                <w:szCs w:val="16"/>
              </w:rPr>
            </w:pPr>
            <w:r w:rsidRPr="005C54B7">
              <w:rPr>
                <w:b/>
                <w:bCs/>
                <w:color w:val="000000"/>
                <w:sz w:val="16"/>
                <w:szCs w:val="16"/>
              </w:rPr>
              <w:t>Чукотский АО</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96,7%</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90,3%</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69,0%</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45,4%</w:t>
            </w:r>
          </w:p>
        </w:tc>
        <w:tc>
          <w:tcPr>
            <w:tcW w:w="1343"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-51,3%</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DDEBF7"/>
            <w:noWrap/>
            <w:vAlign w:val="center"/>
            <w:hideMark/>
          </w:tcPr>
          <w:p w:rsidR="00722854" w:rsidRPr="005C54B7" w:rsidRDefault="00722854" w:rsidP="004249A6">
            <w:pPr>
              <w:rPr>
                <w:b/>
                <w:bCs/>
                <w:color w:val="000000"/>
                <w:sz w:val="16"/>
                <w:szCs w:val="16"/>
              </w:rPr>
            </w:pPr>
            <w:r w:rsidRPr="005C54B7">
              <w:rPr>
                <w:b/>
                <w:bCs/>
                <w:color w:val="000000"/>
                <w:sz w:val="16"/>
                <w:szCs w:val="16"/>
              </w:rPr>
              <w:t>Итого</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30,5%</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25,3%</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22,5%</w:t>
            </w:r>
          </w:p>
        </w:tc>
        <w:tc>
          <w:tcPr>
            <w:tcW w:w="1290"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27,3%</w:t>
            </w:r>
          </w:p>
        </w:tc>
        <w:tc>
          <w:tcPr>
            <w:tcW w:w="1343" w:type="dxa"/>
            <w:tcBorders>
              <w:top w:val="nil"/>
              <w:left w:val="nil"/>
              <w:bottom w:val="single" w:sz="4" w:space="0" w:color="auto"/>
              <w:right w:val="single" w:sz="4" w:space="0" w:color="auto"/>
            </w:tcBorders>
            <w:shd w:val="clear" w:color="000000" w:fill="FFFFFF"/>
            <w:noWrap/>
            <w:vAlign w:val="center"/>
            <w:hideMark/>
          </w:tcPr>
          <w:p w:rsidR="00722854" w:rsidRPr="005C54B7" w:rsidRDefault="00722854" w:rsidP="004249A6">
            <w:pPr>
              <w:jc w:val="center"/>
              <w:rPr>
                <w:color w:val="000000"/>
                <w:sz w:val="16"/>
                <w:szCs w:val="16"/>
              </w:rPr>
            </w:pPr>
            <w:r w:rsidRPr="005C54B7">
              <w:rPr>
                <w:color w:val="000000"/>
                <w:sz w:val="16"/>
                <w:szCs w:val="16"/>
              </w:rPr>
              <w:t>-3,2%</w:t>
            </w:r>
          </w:p>
        </w:tc>
      </w:tr>
      <w:tr w:rsidR="00722854" w:rsidRPr="005C54B7" w:rsidTr="004249A6">
        <w:trPr>
          <w:trHeight w:val="227"/>
        </w:trPr>
        <w:tc>
          <w:tcPr>
            <w:tcW w:w="3134" w:type="dxa"/>
            <w:tcBorders>
              <w:top w:val="nil"/>
              <w:left w:val="single" w:sz="4" w:space="0" w:color="auto"/>
              <w:bottom w:val="single" w:sz="4" w:space="0" w:color="auto"/>
              <w:right w:val="single" w:sz="4" w:space="0" w:color="auto"/>
            </w:tcBorders>
            <w:shd w:val="clear" w:color="000000" w:fill="BDD7EE"/>
            <w:noWrap/>
            <w:vAlign w:val="center"/>
            <w:hideMark/>
          </w:tcPr>
          <w:p w:rsidR="00722854" w:rsidRPr="005C54B7" w:rsidRDefault="00722854" w:rsidP="004249A6">
            <w:pPr>
              <w:rPr>
                <w:b/>
                <w:bCs/>
                <w:color w:val="000000"/>
                <w:sz w:val="16"/>
                <w:szCs w:val="16"/>
              </w:rPr>
            </w:pPr>
            <w:r w:rsidRPr="005C54B7">
              <w:rPr>
                <w:b/>
                <w:bCs/>
                <w:color w:val="000000"/>
                <w:sz w:val="16"/>
                <w:szCs w:val="16"/>
              </w:rPr>
              <w:t>Дотационные субъекты всего:</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55,6%</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48,1%</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44,1%</w:t>
            </w:r>
          </w:p>
        </w:tc>
        <w:tc>
          <w:tcPr>
            <w:tcW w:w="1290"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43,6%</w:t>
            </w:r>
          </w:p>
        </w:tc>
        <w:tc>
          <w:tcPr>
            <w:tcW w:w="1343" w:type="dxa"/>
            <w:tcBorders>
              <w:top w:val="nil"/>
              <w:left w:val="nil"/>
              <w:bottom w:val="single" w:sz="4" w:space="0" w:color="auto"/>
              <w:right w:val="single" w:sz="4" w:space="0" w:color="auto"/>
            </w:tcBorders>
            <w:shd w:val="clear" w:color="000000" w:fill="BDD7EE"/>
            <w:noWrap/>
            <w:vAlign w:val="center"/>
            <w:hideMark/>
          </w:tcPr>
          <w:p w:rsidR="00722854" w:rsidRPr="005C54B7" w:rsidRDefault="00722854" w:rsidP="004249A6">
            <w:pPr>
              <w:jc w:val="center"/>
              <w:rPr>
                <w:color w:val="000000"/>
                <w:sz w:val="16"/>
                <w:szCs w:val="16"/>
              </w:rPr>
            </w:pPr>
            <w:r w:rsidRPr="005C54B7">
              <w:rPr>
                <w:color w:val="000000"/>
                <w:sz w:val="16"/>
                <w:szCs w:val="16"/>
              </w:rPr>
              <w:t>-12,0%</w:t>
            </w:r>
          </w:p>
        </w:tc>
      </w:tr>
    </w:tbl>
    <w:p w:rsidR="00722854" w:rsidRPr="005C54B7" w:rsidRDefault="00722854" w:rsidP="00722854">
      <w:pPr>
        <w:spacing w:line="288" w:lineRule="auto"/>
        <w:ind w:firstLine="567"/>
        <w:jc w:val="both"/>
        <w:rPr>
          <w:sz w:val="16"/>
          <w:szCs w:val="16"/>
          <w:highlight w:val="yellow"/>
        </w:rPr>
      </w:pPr>
    </w:p>
    <w:p w:rsidR="00722854" w:rsidRPr="00996ED8" w:rsidRDefault="00722854" w:rsidP="00D07B7A">
      <w:pPr>
        <w:spacing w:line="312" w:lineRule="auto"/>
        <w:ind w:firstLine="709"/>
        <w:jc w:val="both"/>
        <w:rPr>
          <w:sz w:val="28"/>
          <w:szCs w:val="28"/>
        </w:rPr>
      </w:pPr>
      <w:r w:rsidRPr="00990402">
        <w:rPr>
          <w:sz w:val="28"/>
          <w:szCs w:val="28"/>
        </w:rPr>
        <w:t>Также следует отметить, что у 4 дотационных регионов (республики Карелия, Адыгея (Адыгея), Калмыкия и Крым, Забайкальский край) уровень долговой нагрузки за 2020 год увеличился по сравнению с 2019 годом</w:t>
      </w:r>
      <w:r>
        <w:rPr>
          <w:sz w:val="28"/>
          <w:szCs w:val="28"/>
        </w:rPr>
        <w:t>.</w:t>
      </w:r>
    </w:p>
    <w:p w:rsidR="00722854" w:rsidRPr="00F238F5" w:rsidRDefault="00722854" w:rsidP="00F238F5">
      <w:pPr>
        <w:widowControl w:val="0"/>
        <w:spacing w:after="100" w:afterAutospacing="1" w:line="360" w:lineRule="auto"/>
        <w:ind w:firstLine="709"/>
        <w:contextualSpacing/>
        <w:jc w:val="both"/>
        <w:rPr>
          <w:bCs/>
          <w:iCs/>
          <w:sz w:val="28"/>
          <w:szCs w:val="28"/>
          <w:lang w:bidi="ru-RU"/>
        </w:rPr>
      </w:pPr>
    </w:p>
    <w:sectPr w:rsidR="00722854" w:rsidRPr="00F238F5" w:rsidSect="0082295A">
      <w:headerReference w:type="default" r:id="rId12"/>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191" w:rsidRDefault="00137191" w:rsidP="00A32EAB">
      <w:r>
        <w:separator/>
      </w:r>
    </w:p>
  </w:endnote>
  <w:endnote w:type="continuationSeparator" w:id="0">
    <w:p w:rsidR="00137191" w:rsidRDefault="00137191" w:rsidP="00A32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191" w:rsidRDefault="00137191" w:rsidP="00A32EAB">
      <w:r>
        <w:separator/>
      </w:r>
    </w:p>
  </w:footnote>
  <w:footnote w:type="continuationSeparator" w:id="0">
    <w:p w:rsidR="00137191" w:rsidRDefault="00137191" w:rsidP="00A32EAB">
      <w:r>
        <w:continuationSeparator/>
      </w:r>
    </w:p>
  </w:footnote>
  <w:footnote w:id="1">
    <w:p w:rsidR="007A3802" w:rsidRPr="00626972" w:rsidRDefault="007A3802" w:rsidP="00881DA5">
      <w:pPr>
        <w:pStyle w:val="a8"/>
        <w:shd w:val="clear" w:color="auto" w:fill="auto"/>
        <w:tabs>
          <w:tab w:val="left" w:pos="295"/>
        </w:tabs>
        <w:ind w:firstLine="240"/>
        <w:rPr>
          <w:b w:val="0"/>
          <w:sz w:val="20"/>
          <w:szCs w:val="20"/>
        </w:rPr>
      </w:pPr>
      <w:r>
        <w:rPr>
          <w:color w:val="000000"/>
          <w:vertAlign w:val="superscript"/>
        </w:rPr>
        <w:footnoteRef/>
      </w:r>
      <w:r>
        <w:rPr>
          <w:color w:val="000000"/>
        </w:rPr>
        <w:t xml:space="preserve"> </w:t>
      </w:r>
      <w:r w:rsidRPr="00626972">
        <w:rPr>
          <w:b w:val="0"/>
          <w:color w:val="000000"/>
          <w:sz w:val="20"/>
          <w:szCs w:val="20"/>
        </w:rPr>
        <w:t>Рейтинг финансовой устойчивости регионов России. М.: Центр экономического анализа «Интерфакс», Национальное рейтинговое агентство при участии компании «Русские фонды», 2000.</w:t>
      </w:r>
    </w:p>
  </w:footnote>
  <w:footnote w:id="2">
    <w:p w:rsidR="007A3802" w:rsidRPr="00626972" w:rsidRDefault="007A3802" w:rsidP="00881DA5">
      <w:pPr>
        <w:pStyle w:val="a8"/>
        <w:shd w:val="clear" w:color="auto" w:fill="auto"/>
        <w:tabs>
          <w:tab w:val="left" w:pos="304"/>
        </w:tabs>
        <w:ind w:left="220"/>
        <w:rPr>
          <w:b w:val="0"/>
          <w:sz w:val="20"/>
          <w:szCs w:val="20"/>
        </w:rPr>
      </w:pPr>
      <w:r w:rsidRPr="00626972">
        <w:rPr>
          <w:b w:val="0"/>
          <w:color w:val="000000"/>
          <w:sz w:val="20"/>
          <w:szCs w:val="20"/>
          <w:vertAlign w:val="superscript"/>
        </w:rPr>
        <w:footnoteRef/>
      </w:r>
      <w:r w:rsidRPr="00626972">
        <w:rPr>
          <w:b w:val="0"/>
          <w:color w:val="000000"/>
          <w:sz w:val="20"/>
          <w:szCs w:val="20"/>
        </w:rPr>
        <w:tab/>
        <w:t>Рейтинг регионов России. - М.: Эксперт, 2001, № 41. - С. 97.</w:t>
      </w:r>
    </w:p>
  </w:footnote>
  <w:footnote w:id="3">
    <w:p w:rsidR="009A0C83" w:rsidRDefault="009A0C83" w:rsidP="009A0C83">
      <w:pPr>
        <w:pStyle w:val="a3"/>
        <w:jc w:val="both"/>
      </w:pPr>
      <w:r>
        <w:rPr>
          <w:rStyle w:val="a5"/>
        </w:rPr>
        <w:footnoteRef/>
      </w:r>
      <w:r>
        <w:t xml:space="preserve"> Российское агентство АКРА – аналитическое кредитное рейтинговое агентство, учреждено в 2015 году, основная задача – обеспечение рейтинговым и аналитическим продуктом участников финансового рынка.</w:t>
      </w:r>
    </w:p>
  </w:footnote>
  <w:footnote w:id="4">
    <w:p w:rsidR="007A3802" w:rsidRPr="00D95E3B" w:rsidRDefault="007A3802" w:rsidP="00AA5FD5">
      <w:pPr>
        <w:pStyle w:val="a3"/>
        <w:jc w:val="both"/>
      </w:pPr>
      <w:r>
        <w:rPr>
          <w:rStyle w:val="a5"/>
        </w:rPr>
        <w:footnoteRef/>
      </w:r>
      <w:r>
        <w:t xml:space="preserve"> Модифицированный бюджетный дефицит – </w:t>
      </w:r>
      <w:r w:rsidRPr="00D95E3B">
        <w:t xml:space="preserve"> потребность в долговом финансировании региона после учета всех доходов и расходов, </w:t>
      </w:r>
      <w:r>
        <w:t xml:space="preserve">а также после учета источников </w:t>
      </w:r>
      <w:r w:rsidRPr="00D95E3B">
        <w:t>финансирования дефицита, не приводящих к изменению д</w:t>
      </w:r>
      <w:r>
        <w:t xml:space="preserve">олга, кроме изменения остатков </w:t>
      </w:r>
      <w:r w:rsidRPr="00D95E3B">
        <w:t>на счетах.</w:t>
      </w:r>
      <w:r w:rsidRPr="00D95E3B">
        <w:cr/>
      </w:r>
    </w:p>
  </w:footnote>
  <w:footnote w:id="5">
    <w:p w:rsidR="007A3802" w:rsidRPr="00367D7D" w:rsidRDefault="007A3802" w:rsidP="00AA5FD5">
      <w:pPr>
        <w:pStyle w:val="a3"/>
        <w:ind w:firstLine="709"/>
        <w:jc w:val="both"/>
      </w:pPr>
      <w:r>
        <w:rPr>
          <w:rStyle w:val="a5"/>
        </w:rPr>
        <w:footnoteRef/>
      </w:r>
      <w:r>
        <w:t xml:space="preserve"> </w:t>
      </w:r>
      <w:r w:rsidRPr="00367D7D">
        <w:t>Модифицированный свободный денежный поток — баланс текущих операций после учета процентных доходов и расходов, капитальных расходов и полученных трансфертов капитального характера.</w:t>
      </w:r>
    </w:p>
  </w:footnote>
  <w:footnote w:id="6">
    <w:p w:rsidR="00722854" w:rsidRPr="00953720" w:rsidRDefault="00722854" w:rsidP="00722854">
      <w:pPr>
        <w:pStyle w:val="a3"/>
      </w:pPr>
      <w:r>
        <w:rPr>
          <w:rStyle w:val="a5"/>
        </w:rPr>
        <w:footnoteRef/>
      </w:r>
      <w:r>
        <w:t xml:space="preserve"> </w:t>
      </w:r>
      <w:r w:rsidRPr="00953720">
        <w:t xml:space="preserve">Источники: </w:t>
      </w:r>
      <w:r w:rsidRPr="00953720">
        <w:rPr>
          <w:lang w:val="en-US"/>
        </w:rPr>
        <w:t>URL</w:t>
      </w:r>
      <w:r w:rsidRPr="00953720">
        <w:t xml:space="preserve">: </w:t>
      </w:r>
      <w:r w:rsidRPr="001739E5">
        <w:t>https://ria.ru/20180227/1515316309.html</w:t>
      </w:r>
      <w:r>
        <w:t xml:space="preserve">, </w:t>
      </w:r>
      <w:r w:rsidRPr="001739E5">
        <w:t>http://vid1.rian.ru/ig/ratings/gosdolg_01_2019.pdf</w:t>
      </w:r>
      <w:r>
        <w:t xml:space="preserve">, </w:t>
      </w:r>
      <w:r w:rsidRPr="00767B59">
        <w:t>http://vid1.rian.ru/ig/ratings/gosdolg_01_2020.pdf</w:t>
      </w:r>
      <w:r w:rsidRPr="00953720">
        <w:t xml:space="preserve"> и </w:t>
      </w:r>
      <w:r w:rsidRPr="005F6486">
        <w:t xml:space="preserve">http://vid1.rian.ru/ig/ratings/gosdolg_01_2021.pdf </w:t>
      </w:r>
      <w:r>
        <w:t>(дата обращения - 02.07.2021 г.)</w:t>
      </w:r>
    </w:p>
  </w:footnote>
  <w:footnote w:id="7">
    <w:p w:rsidR="00722854" w:rsidRPr="001D1C7E" w:rsidRDefault="00722854" w:rsidP="00722854">
      <w:pPr>
        <w:pStyle w:val="a3"/>
        <w:jc w:val="both"/>
      </w:pPr>
      <w:r w:rsidRPr="001D1C7E">
        <w:rPr>
          <w:rStyle w:val="a5"/>
        </w:rPr>
        <w:footnoteRef/>
      </w:r>
      <w:r w:rsidRPr="001D1C7E">
        <w:t xml:space="preserve"> Собственные расчеты по данным Минфина России об объеме долга субъектов Рос</w:t>
      </w:r>
      <w:r>
        <w:t>сийской Федерации на 01.01.2018 </w:t>
      </w:r>
      <w:r w:rsidRPr="001D1C7E">
        <w:t>г. Источник: официальный сайт Минфина России https://minfin.gov.ru/ru/perfomance/public_debt/subdbt/2017/, дата обращения 02.07.2021 г.</w:t>
      </w:r>
    </w:p>
  </w:footnote>
  <w:footnote w:id="8">
    <w:p w:rsidR="00722854" w:rsidRPr="001122D3" w:rsidRDefault="00722854" w:rsidP="00722854">
      <w:pPr>
        <w:pStyle w:val="a3"/>
      </w:pPr>
      <w:r w:rsidRPr="001122D3">
        <w:rPr>
          <w:rStyle w:val="a5"/>
        </w:rPr>
        <w:footnoteRef/>
      </w:r>
      <w:r w:rsidRPr="001122D3">
        <w:t xml:space="preserve"> Источник http://st.finam.ru/ipo/comments/_TRP-2021-02-%D1%84%D0%B8%D0%BD%D0%B0%D0%BB.pdf, дата обращения 06.07.2021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804285"/>
      <w:docPartObj>
        <w:docPartGallery w:val="Page Numbers (Top of Page)"/>
        <w:docPartUnique/>
      </w:docPartObj>
    </w:sdtPr>
    <w:sdtEndPr/>
    <w:sdtContent>
      <w:p w:rsidR="0082295A" w:rsidRDefault="0082295A">
        <w:pPr>
          <w:pStyle w:val="aa"/>
          <w:jc w:val="center"/>
        </w:pPr>
        <w:r>
          <w:fldChar w:fldCharType="begin"/>
        </w:r>
        <w:r>
          <w:instrText>PAGE   \* MERGEFORMAT</w:instrText>
        </w:r>
        <w:r>
          <w:fldChar w:fldCharType="separate"/>
        </w:r>
        <w:r w:rsidR="004A2386">
          <w:rPr>
            <w:noProof/>
          </w:rPr>
          <w:t>26</w:t>
        </w:r>
        <w:r>
          <w:fldChar w:fldCharType="end"/>
        </w:r>
      </w:p>
    </w:sdtContent>
  </w:sdt>
  <w:p w:rsidR="0082295A" w:rsidRDefault="0082295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439056"/>
    <w:multiLevelType w:val="hybridMultilevel"/>
    <w:tmpl w:val="1BB2B6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7E08065"/>
    <w:multiLevelType w:val="hybridMultilevel"/>
    <w:tmpl w:val="79F5BD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D38AF19"/>
    <w:multiLevelType w:val="hybridMultilevel"/>
    <w:tmpl w:val="243370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A82770C"/>
    <w:multiLevelType w:val="hybridMultilevel"/>
    <w:tmpl w:val="AA4482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8FA69A2"/>
    <w:multiLevelType w:val="hybridMultilevel"/>
    <w:tmpl w:val="1D98EA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BBC2770"/>
    <w:multiLevelType w:val="multilevel"/>
    <w:tmpl w:val="62642522"/>
    <w:lvl w:ilvl="0">
      <w:start w:val="1"/>
      <w:numFmt w:val="bullet"/>
      <w:lvlText w:val="•"/>
      <w:lvlJc w:val="left"/>
      <w:rPr>
        <w:rFonts w:ascii="Times New Roman" w:eastAsia="Times New Roman" w:hAnsi="Times New Roman"/>
        <w:b/>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65B0C1B2"/>
    <w:multiLevelType w:val="hybridMultilevel"/>
    <w:tmpl w:val="6A0752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EAB"/>
    <w:rsid w:val="00010940"/>
    <w:rsid w:val="000A292B"/>
    <w:rsid w:val="000C6A08"/>
    <w:rsid w:val="00137191"/>
    <w:rsid w:val="001C75E0"/>
    <w:rsid w:val="00306422"/>
    <w:rsid w:val="004A2386"/>
    <w:rsid w:val="00513E85"/>
    <w:rsid w:val="005412E9"/>
    <w:rsid w:val="0058133D"/>
    <w:rsid w:val="00626972"/>
    <w:rsid w:val="00712910"/>
    <w:rsid w:val="00722854"/>
    <w:rsid w:val="007A3802"/>
    <w:rsid w:val="0082295A"/>
    <w:rsid w:val="00881DA5"/>
    <w:rsid w:val="00990402"/>
    <w:rsid w:val="009A0C83"/>
    <w:rsid w:val="00A32EAB"/>
    <w:rsid w:val="00A6631F"/>
    <w:rsid w:val="00AA5FD5"/>
    <w:rsid w:val="00BE4E26"/>
    <w:rsid w:val="00C160F8"/>
    <w:rsid w:val="00D07B7A"/>
    <w:rsid w:val="00ED7FBF"/>
    <w:rsid w:val="00F049E2"/>
    <w:rsid w:val="00F23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E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Oaeno niinee Ciae,Ciae Ciae,Oaeno niinee Ciae Ciae,Oaeno niinee Ciae1,Текст сноски Знак1 Знак,Текст сноски Знак Знак Знак,Текст сноски Знак Знак,Текст сноски Знак Знак Знак Знак Знак Знак Знак Знак,Текст сноски-FN,Текст сноски1 Знак,Знак,F1"/>
    <w:basedOn w:val="a"/>
    <w:link w:val="a4"/>
    <w:uiPriority w:val="99"/>
    <w:unhideWhenUsed/>
    <w:qFormat/>
    <w:rsid w:val="00A32EAB"/>
    <w:rPr>
      <w:sz w:val="20"/>
      <w:szCs w:val="20"/>
    </w:rPr>
  </w:style>
  <w:style w:type="character" w:customStyle="1" w:styleId="a4">
    <w:name w:val="Текст сноски Знак"/>
    <w:aliases w:val="Oaeno niinee Ciae Знак,Ciae Ciae Знак,Oaeno niinee Ciae Ciae Знак,Oaeno niinee Ciae1 Знак,Текст сноски Знак1 Знак Знак,Текст сноски Знак Знак Знак Знак,Текст сноски Знак Знак Знак1,Текст сноски-FN Знак,Текст сноски1 Знак Знак,Знак Знак"/>
    <w:basedOn w:val="a0"/>
    <w:link w:val="a3"/>
    <w:uiPriority w:val="99"/>
    <w:qFormat/>
    <w:rsid w:val="00A32EAB"/>
    <w:rPr>
      <w:rFonts w:ascii="Times New Roman" w:eastAsia="Times New Roman" w:hAnsi="Times New Roman" w:cs="Times New Roman"/>
      <w:sz w:val="20"/>
      <w:szCs w:val="20"/>
      <w:lang w:eastAsia="ru-RU"/>
    </w:rPr>
  </w:style>
  <w:style w:type="character" w:styleId="a5">
    <w:name w:val="footnote reference"/>
    <w:aliases w:val="Знак сноски-FN,Ciae niinee-FN,Знак сноски 1,fr,Used by Word for Help footnote symbols,Referencia nota al pie,Ciae niinee 1,Ссылка на сноску 45,Footnote Reference Number,анкета сноска,16 Point,Superscript 6 Point,Footnote Reference_LV,SUPERS"/>
    <w:basedOn w:val="a0"/>
    <w:link w:val="1"/>
    <w:uiPriority w:val="99"/>
    <w:unhideWhenUsed/>
    <w:qFormat/>
    <w:rsid w:val="00A32EAB"/>
    <w:rPr>
      <w:vertAlign w:val="superscript"/>
    </w:rPr>
  </w:style>
  <w:style w:type="character" w:styleId="a6">
    <w:name w:val="Hyperlink"/>
    <w:uiPriority w:val="99"/>
    <w:unhideWhenUsed/>
    <w:rsid w:val="00AA5FD5"/>
    <w:rPr>
      <w:color w:val="0000FF"/>
      <w:u w:val="single"/>
    </w:rPr>
  </w:style>
  <w:style w:type="paragraph" w:customStyle="1" w:styleId="1">
    <w:name w:val="Знак сноски1"/>
    <w:link w:val="a5"/>
    <w:uiPriority w:val="99"/>
    <w:rsid w:val="00AA5FD5"/>
    <w:pPr>
      <w:spacing w:after="0" w:line="240" w:lineRule="auto"/>
    </w:pPr>
    <w:rPr>
      <w:vertAlign w:val="superscript"/>
    </w:rPr>
  </w:style>
  <w:style w:type="paragraph" w:customStyle="1" w:styleId="Default">
    <w:name w:val="Default"/>
    <w:rsid w:val="00A6631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Сноска_"/>
    <w:basedOn w:val="a0"/>
    <w:link w:val="a8"/>
    <w:locked/>
    <w:rsid w:val="00881DA5"/>
    <w:rPr>
      <w:rFonts w:ascii="Times New Roman" w:hAnsi="Times New Roman" w:cs="Times New Roman"/>
      <w:b/>
      <w:bCs/>
      <w:sz w:val="17"/>
      <w:szCs w:val="17"/>
      <w:shd w:val="clear" w:color="auto" w:fill="FFFFFF"/>
    </w:rPr>
  </w:style>
  <w:style w:type="character" w:customStyle="1" w:styleId="2">
    <w:name w:val="Основной текст (2)_"/>
    <w:basedOn w:val="a0"/>
    <w:link w:val="20"/>
    <w:locked/>
    <w:rsid w:val="00881DA5"/>
    <w:rPr>
      <w:rFonts w:ascii="Times New Roman" w:hAnsi="Times New Roman" w:cs="Times New Roman"/>
      <w:sz w:val="20"/>
      <w:szCs w:val="20"/>
      <w:shd w:val="clear" w:color="auto" w:fill="FFFFFF"/>
    </w:rPr>
  </w:style>
  <w:style w:type="paragraph" w:customStyle="1" w:styleId="a8">
    <w:name w:val="Сноска"/>
    <w:basedOn w:val="a"/>
    <w:link w:val="a7"/>
    <w:rsid w:val="00881DA5"/>
    <w:pPr>
      <w:widowControl w:val="0"/>
      <w:shd w:val="clear" w:color="auto" w:fill="FFFFFF"/>
      <w:spacing w:line="190" w:lineRule="exact"/>
      <w:jc w:val="both"/>
    </w:pPr>
    <w:rPr>
      <w:rFonts w:eastAsiaTheme="minorHAnsi"/>
      <w:b/>
      <w:bCs/>
      <w:sz w:val="17"/>
      <w:szCs w:val="17"/>
      <w:lang w:eastAsia="en-US"/>
    </w:rPr>
  </w:style>
  <w:style w:type="paragraph" w:customStyle="1" w:styleId="20">
    <w:name w:val="Основной текст (2)"/>
    <w:basedOn w:val="a"/>
    <w:link w:val="2"/>
    <w:rsid w:val="00881DA5"/>
    <w:pPr>
      <w:widowControl w:val="0"/>
      <w:shd w:val="clear" w:color="auto" w:fill="FFFFFF"/>
      <w:spacing w:line="238" w:lineRule="exact"/>
      <w:ind w:hanging="460"/>
      <w:jc w:val="both"/>
    </w:pPr>
    <w:rPr>
      <w:rFonts w:eastAsiaTheme="minorHAnsi"/>
      <w:sz w:val="20"/>
      <w:szCs w:val="20"/>
      <w:lang w:eastAsia="en-US"/>
    </w:rPr>
  </w:style>
  <w:style w:type="paragraph" w:styleId="a9">
    <w:name w:val="List Paragraph"/>
    <w:basedOn w:val="a"/>
    <w:uiPriority w:val="34"/>
    <w:qFormat/>
    <w:rsid w:val="00626972"/>
    <w:pPr>
      <w:ind w:left="720"/>
      <w:contextualSpacing/>
    </w:pPr>
  </w:style>
  <w:style w:type="paragraph" w:styleId="aa">
    <w:name w:val="header"/>
    <w:basedOn w:val="a"/>
    <w:link w:val="ab"/>
    <w:uiPriority w:val="99"/>
    <w:unhideWhenUsed/>
    <w:rsid w:val="0082295A"/>
    <w:pPr>
      <w:tabs>
        <w:tab w:val="center" w:pos="4677"/>
        <w:tab w:val="right" w:pos="9355"/>
      </w:tabs>
    </w:pPr>
  </w:style>
  <w:style w:type="character" w:customStyle="1" w:styleId="ab">
    <w:name w:val="Верхний колонтитул Знак"/>
    <w:basedOn w:val="a0"/>
    <w:link w:val="aa"/>
    <w:uiPriority w:val="99"/>
    <w:rsid w:val="0082295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82295A"/>
    <w:pPr>
      <w:tabs>
        <w:tab w:val="center" w:pos="4677"/>
        <w:tab w:val="right" w:pos="9355"/>
      </w:tabs>
    </w:pPr>
  </w:style>
  <w:style w:type="character" w:customStyle="1" w:styleId="ad">
    <w:name w:val="Нижний колонтитул Знак"/>
    <w:basedOn w:val="a0"/>
    <w:link w:val="ac"/>
    <w:uiPriority w:val="99"/>
    <w:rsid w:val="0082295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E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Oaeno niinee Ciae,Ciae Ciae,Oaeno niinee Ciae Ciae,Oaeno niinee Ciae1,Текст сноски Знак1 Знак,Текст сноски Знак Знак Знак,Текст сноски Знак Знак,Текст сноски Знак Знак Знак Знак Знак Знак Знак Знак,Текст сноски-FN,Текст сноски1 Знак,Знак,F1"/>
    <w:basedOn w:val="a"/>
    <w:link w:val="a4"/>
    <w:uiPriority w:val="99"/>
    <w:unhideWhenUsed/>
    <w:qFormat/>
    <w:rsid w:val="00A32EAB"/>
    <w:rPr>
      <w:sz w:val="20"/>
      <w:szCs w:val="20"/>
    </w:rPr>
  </w:style>
  <w:style w:type="character" w:customStyle="1" w:styleId="a4">
    <w:name w:val="Текст сноски Знак"/>
    <w:aliases w:val="Oaeno niinee Ciae Знак,Ciae Ciae Знак,Oaeno niinee Ciae Ciae Знак,Oaeno niinee Ciae1 Знак,Текст сноски Знак1 Знак Знак,Текст сноски Знак Знак Знак Знак,Текст сноски Знак Знак Знак1,Текст сноски-FN Знак,Текст сноски1 Знак Знак,Знак Знак"/>
    <w:basedOn w:val="a0"/>
    <w:link w:val="a3"/>
    <w:uiPriority w:val="99"/>
    <w:qFormat/>
    <w:rsid w:val="00A32EAB"/>
    <w:rPr>
      <w:rFonts w:ascii="Times New Roman" w:eastAsia="Times New Roman" w:hAnsi="Times New Roman" w:cs="Times New Roman"/>
      <w:sz w:val="20"/>
      <w:szCs w:val="20"/>
      <w:lang w:eastAsia="ru-RU"/>
    </w:rPr>
  </w:style>
  <w:style w:type="character" w:styleId="a5">
    <w:name w:val="footnote reference"/>
    <w:aliases w:val="Знак сноски-FN,Ciae niinee-FN,Знак сноски 1,fr,Used by Word for Help footnote symbols,Referencia nota al pie,Ciae niinee 1,Ссылка на сноску 45,Footnote Reference Number,анкета сноска,16 Point,Superscript 6 Point,Footnote Reference_LV,SUPERS"/>
    <w:basedOn w:val="a0"/>
    <w:link w:val="1"/>
    <w:uiPriority w:val="99"/>
    <w:unhideWhenUsed/>
    <w:qFormat/>
    <w:rsid w:val="00A32EAB"/>
    <w:rPr>
      <w:vertAlign w:val="superscript"/>
    </w:rPr>
  </w:style>
  <w:style w:type="character" w:styleId="a6">
    <w:name w:val="Hyperlink"/>
    <w:uiPriority w:val="99"/>
    <w:unhideWhenUsed/>
    <w:rsid w:val="00AA5FD5"/>
    <w:rPr>
      <w:color w:val="0000FF"/>
      <w:u w:val="single"/>
    </w:rPr>
  </w:style>
  <w:style w:type="paragraph" w:customStyle="1" w:styleId="1">
    <w:name w:val="Знак сноски1"/>
    <w:link w:val="a5"/>
    <w:uiPriority w:val="99"/>
    <w:rsid w:val="00AA5FD5"/>
    <w:pPr>
      <w:spacing w:after="0" w:line="240" w:lineRule="auto"/>
    </w:pPr>
    <w:rPr>
      <w:vertAlign w:val="superscript"/>
    </w:rPr>
  </w:style>
  <w:style w:type="paragraph" w:customStyle="1" w:styleId="Default">
    <w:name w:val="Default"/>
    <w:rsid w:val="00A6631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Сноска_"/>
    <w:basedOn w:val="a0"/>
    <w:link w:val="a8"/>
    <w:locked/>
    <w:rsid w:val="00881DA5"/>
    <w:rPr>
      <w:rFonts w:ascii="Times New Roman" w:hAnsi="Times New Roman" w:cs="Times New Roman"/>
      <w:b/>
      <w:bCs/>
      <w:sz w:val="17"/>
      <w:szCs w:val="17"/>
      <w:shd w:val="clear" w:color="auto" w:fill="FFFFFF"/>
    </w:rPr>
  </w:style>
  <w:style w:type="character" w:customStyle="1" w:styleId="2">
    <w:name w:val="Основной текст (2)_"/>
    <w:basedOn w:val="a0"/>
    <w:link w:val="20"/>
    <w:locked/>
    <w:rsid w:val="00881DA5"/>
    <w:rPr>
      <w:rFonts w:ascii="Times New Roman" w:hAnsi="Times New Roman" w:cs="Times New Roman"/>
      <w:sz w:val="20"/>
      <w:szCs w:val="20"/>
      <w:shd w:val="clear" w:color="auto" w:fill="FFFFFF"/>
    </w:rPr>
  </w:style>
  <w:style w:type="paragraph" w:customStyle="1" w:styleId="a8">
    <w:name w:val="Сноска"/>
    <w:basedOn w:val="a"/>
    <w:link w:val="a7"/>
    <w:rsid w:val="00881DA5"/>
    <w:pPr>
      <w:widowControl w:val="0"/>
      <w:shd w:val="clear" w:color="auto" w:fill="FFFFFF"/>
      <w:spacing w:line="190" w:lineRule="exact"/>
      <w:jc w:val="both"/>
    </w:pPr>
    <w:rPr>
      <w:rFonts w:eastAsiaTheme="minorHAnsi"/>
      <w:b/>
      <w:bCs/>
      <w:sz w:val="17"/>
      <w:szCs w:val="17"/>
      <w:lang w:eastAsia="en-US"/>
    </w:rPr>
  </w:style>
  <w:style w:type="paragraph" w:customStyle="1" w:styleId="20">
    <w:name w:val="Основной текст (2)"/>
    <w:basedOn w:val="a"/>
    <w:link w:val="2"/>
    <w:rsid w:val="00881DA5"/>
    <w:pPr>
      <w:widowControl w:val="0"/>
      <w:shd w:val="clear" w:color="auto" w:fill="FFFFFF"/>
      <w:spacing w:line="238" w:lineRule="exact"/>
      <w:ind w:hanging="460"/>
      <w:jc w:val="both"/>
    </w:pPr>
    <w:rPr>
      <w:rFonts w:eastAsiaTheme="minorHAnsi"/>
      <w:sz w:val="20"/>
      <w:szCs w:val="20"/>
      <w:lang w:eastAsia="en-US"/>
    </w:rPr>
  </w:style>
  <w:style w:type="paragraph" w:styleId="a9">
    <w:name w:val="List Paragraph"/>
    <w:basedOn w:val="a"/>
    <w:uiPriority w:val="34"/>
    <w:qFormat/>
    <w:rsid w:val="00626972"/>
    <w:pPr>
      <w:ind w:left="720"/>
      <w:contextualSpacing/>
    </w:pPr>
  </w:style>
  <w:style w:type="paragraph" w:styleId="aa">
    <w:name w:val="header"/>
    <w:basedOn w:val="a"/>
    <w:link w:val="ab"/>
    <w:uiPriority w:val="99"/>
    <w:unhideWhenUsed/>
    <w:rsid w:val="0082295A"/>
    <w:pPr>
      <w:tabs>
        <w:tab w:val="center" w:pos="4677"/>
        <w:tab w:val="right" w:pos="9355"/>
      </w:tabs>
    </w:pPr>
  </w:style>
  <w:style w:type="character" w:customStyle="1" w:styleId="ab">
    <w:name w:val="Верхний колонтитул Знак"/>
    <w:basedOn w:val="a0"/>
    <w:link w:val="aa"/>
    <w:uiPriority w:val="99"/>
    <w:rsid w:val="0082295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82295A"/>
    <w:pPr>
      <w:tabs>
        <w:tab w:val="center" w:pos="4677"/>
        <w:tab w:val="right" w:pos="9355"/>
      </w:tabs>
    </w:pPr>
  </w:style>
  <w:style w:type="character" w:customStyle="1" w:styleId="ad">
    <w:name w:val="Нижний колонтитул Знак"/>
    <w:basedOn w:val="a0"/>
    <w:link w:val="ac"/>
    <w:uiPriority w:val="99"/>
    <w:rsid w:val="0082295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atings.ru/" TargetMode="External"/><Relationship Id="rId5" Type="http://schemas.openxmlformats.org/officeDocument/2006/relationships/settings" Target="settings.xml"/><Relationship Id="rId10" Type="http://schemas.openxmlformats.org/officeDocument/2006/relationships/hyperlink" Target="http://www.spark-interfax.ru" TargetMode="External"/><Relationship Id="rId4" Type="http://schemas.microsoft.com/office/2007/relationships/stylesWithEffects" Target="stylesWithEffects.xml"/><Relationship Id="rId9" Type="http://schemas.openxmlformats.org/officeDocument/2006/relationships/hyperlink" Target="https://raexper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21938-00FE-4620-8425-062C5D7F4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8029</Words>
  <Characters>45770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Потапова С.Ю.</dc:creator>
  <cp:lastModifiedBy>Потапова С.Ю.</cp:lastModifiedBy>
  <cp:revision>5</cp:revision>
  <dcterms:created xsi:type="dcterms:W3CDTF">2022-01-02T18:19:00Z</dcterms:created>
  <dcterms:modified xsi:type="dcterms:W3CDTF">2022-01-21T08:54:00Z</dcterms:modified>
</cp:coreProperties>
</file>