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4834"/>
        <w:gridCol w:w="5764"/>
        <w:gridCol w:w="4252"/>
      </w:tblGrid>
      <w:tr w:rsidR="004E481D" w:rsidRPr="00E52894" w:rsidTr="00711C18">
        <w:tc>
          <w:tcPr>
            <w:tcW w:w="4834" w:type="dxa"/>
            <w:shd w:val="clear" w:color="auto" w:fill="auto"/>
          </w:tcPr>
          <w:p w:rsidR="004E481D" w:rsidRPr="00E52894" w:rsidRDefault="004E481D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64" w:type="dxa"/>
            <w:shd w:val="clear" w:color="auto" w:fill="auto"/>
          </w:tcPr>
          <w:p w:rsidR="004E481D" w:rsidRPr="00E52894" w:rsidRDefault="004E481D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E481D" w:rsidRPr="00E52894" w:rsidRDefault="004E481D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4E481D" w:rsidRPr="00E52894" w:rsidRDefault="004E481D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4E481D" w:rsidRPr="00E52894" w:rsidRDefault="004E481D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E481D" w:rsidRPr="00E52894" w:rsidRDefault="004E481D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4E481D" w:rsidRPr="00E52894" w:rsidRDefault="004E481D" w:rsidP="004E48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</w:tc>
      </w:tr>
    </w:tbl>
    <w:p w:rsidR="004E481D" w:rsidRDefault="004E481D" w:rsidP="004E481D">
      <w:pPr>
        <w:spacing w:before="120" w:after="120"/>
        <w:jc w:val="center"/>
        <w:rPr>
          <w:b/>
        </w:rPr>
      </w:pPr>
      <w:r w:rsidRPr="000D77C3">
        <w:rPr>
          <w:b/>
        </w:rPr>
        <w:t xml:space="preserve">Информация о </w:t>
      </w:r>
      <w:r>
        <w:rPr>
          <w:b/>
        </w:rPr>
        <w:t xml:space="preserve">возможных </w:t>
      </w:r>
      <w:r w:rsidRPr="000D77C3">
        <w:rPr>
          <w:b/>
        </w:rPr>
        <w:t>неполученных социально-экономических эффектах</w:t>
      </w:r>
      <w:r>
        <w:rPr>
          <w:b/>
        </w:rPr>
        <w:br/>
      </w:r>
      <w:r w:rsidRPr="000D77C3">
        <w:rPr>
          <w:b/>
        </w:rPr>
        <w:t xml:space="preserve">от реализации проекта по созданию </w:t>
      </w:r>
      <w:r>
        <w:rPr>
          <w:b/>
        </w:rPr>
        <w:t>медицинского кластера</w:t>
      </w:r>
    </w:p>
    <w:p w:rsidR="004E481D" w:rsidRPr="004E481D" w:rsidRDefault="004E481D" w:rsidP="004E481D">
      <w:pPr>
        <w:spacing w:before="120" w:after="120"/>
        <w:ind w:left="2127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500380</wp:posOffset>
                </wp:positionV>
                <wp:extent cx="0" cy="1562100"/>
                <wp:effectExtent l="60325" t="15875" r="5397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68.3pt;margin-top:39.4pt;width:0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">
                <v:stroke dashstyle="dash" startarrow="block" endarrow="block"/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6313017" cy="37600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3760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81D" w:rsidRDefault="004E481D" w:rsidP="004E481D">
      <w:pPr>
        <w:spacing w:before="120" w:after="120"/>
        <w:jc w:val="center"/>
      </w:pPr>
      <w:r>
        <w:t>Рисунок 1 – Информация о фактической и потенциальной среднесписочной численности</w:t>
      </w:r>
      <w:r>
        <w:br/>
        <w:t>работников организаций (без субъектов малого предпринимательства) в регионе Кавказских Минеральных Вод</w:t>
      </w:r>
      <w:r>
        <w:rPr>
          <w:rStyle w:val="a5"/>
        </w:rPr>
        <w:footnoteReference w:id="1"/>
      </w:r>
    </w:p>
    <w:p w:rsidR="004E481D" w:rsidRDefault="004E481D" w:rsidP="004E481D">
      <w:pPr>
        <w:spacing w:before="120" w:after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496570</wp:posOffset>
                </wp:positionV>
                <wp:extent cx="0" cy="1562100"/>
                <wp:effectExtent l="53340" t="23495" r="6096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23.25pt;margin-top:39.1pt;width:0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">
                <v:stroke dashstyle="dash"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620635" cy="412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D92" w:rsidRDefault="004E481D" w:rsidP="004E481D">
      <w:pPr>
        <w:spacing w:before="120" w:after="120"/>
        <w:jc w:val="center"/>
      </w:pPr>
      <w:r>
        <w:t>Рисунок 2 – Информация о фактической и потенциальной величине и</w:t>
      </w:r>
      <w:r w:rsidRPr="00A45040">
        <w:t>нвестици</w:t>
      </w:r>
      <w:r>
        <w:t>й</w:t>
      </w:r>
      <w:r w:rsidRPr="00A45040">
        <w:t xml:space="preserve"> в основной капитал, </w:t>
      </w:r>
      <w:r>
        <w:br/>
      </w:r>
      <w:r w:rsidRPr="00A45040">
        <w:t>осуществл</w:t>
      </w:r>
      <w:r>
        <w:t>енных</w:t>
      </w:r>
      <w:r w:rsidRPr="00A45040">
        <w:t xml:space="preserve"> организациями, находящимися на территории муниципального образования</w:t>
      </w:r>
      <w:r>
        <w:br/>
      </w:r>
      <w:r w:rsidRPr="00A45040">
        <w:t>(без субъектов малого предпринимательства)</w:t>
      </w:r>
      <w:r>
        <w:t xml:space="preserve"> в регионе Кавказских Минеральных Вод</w:t>
      </w:r>
      <w:r>
        <w:rPr>
          <w:rStyle w:val="a5"/>
        </w:rPr>
        <w:footnoteReference w:id="2"/>
      </w:r>
    </w:p>
    <w:sectPr w:rsidR="00294D92" w:rsidSect="00F15B84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81" w:rsidRDefault="00914C81" w:rsidP="004E481D">
      <w:r>
        <w:separator/>
      </w:r>
    </w:p>
  </w:endnote>
  <w:endnote w:type="continuationSeparator" w:id="0">
    <w:p w:rsidR="00914C81" w:rsidRDefault="00914C81" w:rsidP="004E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81" w:rsidRDefault="00914C81" w:rsidP="004E481D">
      <w:r>
        <w:separator/>
      </w:r>
    </w:p>
  </w:footnote>
  <w:footnote w:type="continuationSeparator" w:id="0">
    <w:p w:rsidR="00914C81" w:rsidRDefault="00914C81" w:rsidP="004E481D">
      <w:r>
        <w:continuationSeparator/>
      </w:r>
    </w:p>
  </w:footnote>
  <w:footnote w:id="1">
    <w:p w:rsidR="004E481D" w:rsidRDefault="004E481D" w:rsidP="004E481D">
      <w:pPr>
        <w:pStyle w:val="a3"/>
        <w:jc w:val="both"/>
      </w:pPr>
      <w:r>
        <w:rPr>
          <w:rStyle w:val="a5"/>
        </w:rPr>
        <w:footnoteRef/>
      </w:r>
      <w:r>
        <w:t xml:space="preserve"> Источник – </w:t>
      </w:r>
      <w:r w:rsidRPr="00F27FA5">
        <w:t xml:space="preserve">База данных «Показатели муниципальных образований» (БД ПМО) </w:t>
      </w:r>
      <w:r>
        <w:t xml:space="preserve">Росстата, сводные показатели реализации проекта. </w:t>
      </w:r>
      <w:r w:rsidRPr="00635AB8">
        <w:t>С учетом периода реализации проекта с 201</w:t>
      </w:r>
      <w:r>
        <w:t>6</w:t>
      </w:r>
      <w:r w:rsidRPr="00635AB8">
        <w:t xml:space="preserve"> года по 202</w:t>
      </w:r>
      <w:r>
        <w:t>3</w:t>
      </w:r>
      <w:r w:rsidRPr="00635AB8">
        <w:t xml:space="preserve"> год</w:t>
      </w:r>
      <w:r>
        <w:t xml:space="preserve"> </w:t>
      </w:r>
      <w:r w:rsidRPr="00D46CE3">
        <w:t>с допущением равномерного распределения количества создаваемых рабочих мест</w:t>
      </w:r>
      <w:r>
        <w:t xml:space="preserve"> (всего – 26,0 тыс. рабочих мест, за период </w:t>
      </w:r>
      <w:r>
        <w:br/>
        <w:t>2016 – 2021 годы -</w:t>
      </w:r>
      <w:r w:rsidRPr="00D46CE3">
        <w:t xml:space="preserve"> 19,5</w:t>
      </w:r>
      <w:r>
        <w:t xml:space="preserve"> тыс. рабочих мест).</w:t>
      </w:r>
    </w:p>
  </w:footnote>
  <w:footnote w:id="2">
    <w:p w:rsidR="004E481D" w:rsidRPr="00A45040" w:rsidRDefault="004E481D" w:rsidP="004E481D">
      <w:pPr>
        <w:pStyle w:val="a3"/>
        <w:jc w:val="both"/>
      </w:pPr>
      <w:r>
        <w:rPr>
          <w:rStyle w:val="a5"/>
        </w:rPr>
        <w:footnoteRef/>
      </w:r>
      <w:r>
        <w:t> </w:t>
      </w:r>
      <w:r w:rsidRPr="00A45040">
        <w:t xml:space="preserve">Источник – База данных «Показатели муниципальных образований» (БД ПМО) Росстата, </w:t>
      </w:r>
      <w:r w:rsidRPr="00030BD8">
        <w:t>сводные показатели реализации</w:t>
      </w:r>
      <w:r w:rsidRPr="00A45040">
        <w:t xml:space="preserve"> проекта. С учетом периода реализации проекта с 201</w:t>
      </w:r>
      <w:r>
        <w:t>6</w:t>
      </w:r>
      <w:r w:rsidRPr="00A45040">
        <w:t xml:space="preserve"> года по 202</w:t>
      </w:r>
      <w:r>
        <w:t>3</w:t>
      </w:r>
      <w:r w:rsidRPr="00A45040">
        <w:t xml:space="preserve"> год с допущением равномерного распределения</w:t>
      </w:r>
      <w:r>
        <w:t xml:space="preserve"> </w:t>
      </w:r>
      <w:r w:rsidRPr="00A45040">
        <w:t>инвестиций в основной капитал</w:t>
      </w:r>
      <w:r>
        <w:t xml:space="preserve"> (всего – 162,1 </w:t>
      </w:r>
      <w:proofErr w:type="gramStart"/>
      <w:r>
        <w:t>млрд</w:t>
      </w:r>
      <w:proofErr w:type="gramEnd"/>
      <w:r>
        <w:t xml:space="preserve"> рублей, за период 2016 – 2021 годы - </w:t>
      </w:r>
      <w:r>
        <w:br/>
      </w:r>
      <w:r w:rsidRPr="00953FCD">
        <w:t>121</w:t>
      </w:r>
      <w:r>
        <w:t>,6 млрд рублей).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81201"/>
      <w:docPartObj>
        <w:docPartGallery w:val="Page Numbers (Top of Page)"/>
        <w:docPartUnique/>
      </w:docPartObj>
    </w:sdtPr>
    <w:sdtEndPr/>
    <w:sdtContent>
      <w:p w:rsidR="00F15B84" w:rsidRDefault="00F15B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3A">
          <w:rPr>
            <w:noProof/>
          </w:rPr>
          <w:t>2</w:t>
        </w:r>
        <w:r>
          <w:fldChar w:fldCharType="end"/>
        </w:r>
      </w:p>
    </w:sdtContent>
  </w:sdt>
  <w:p w:rsidR="00F15B84" w:rsidRDefault="00F15B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1D"/>
    <w:rsid w:val="00294D92"/>
    <w:rsid w:val="004D203A"/>
    <w:rsid w:val="004E481D"/>
    <w:rsid w:val="00914C81"/>
    <w:rsid w:val="00F1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481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4E481D"/>
    <w:rPr>
      <w:vertAlign w:val="superscript"/>
    </w:rPr>
  </w:style>
  <w:style w:type="paragraph" w:customStyle="1" w:styleId="1">
    <w:name w:val="Знак сноски1"/>
    <w:link w:val="a5"/>
    <w:uiPriority w:val="99"/>
    <w:rsid w:val="004E481D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4E481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5B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B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E481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E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4E481D"/>
    <w:rPr>
      <w:vertAlign w:val="superscript"/>
    </w:rPr>
  </w:style>
  <w:style w:type="paragraph" w:customStyle="1" w:styleId="1">
    <w:name w:val="Знак сноски1"/>
    <w:link w:val="a5"/>
    <w:uiPriority w:val="99"/>
    <w:rsid w:val="004E481D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4E481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5B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B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2</cp:revision>
  <dcterms:created xsi:type="dcterms:W3CDTF">2022-10-11T15:11:00Z</dcterms:created>
  <dcterms:modified xsi:type="dcterms:W3CDTF">2022-10-11T15:11:00Z</dcterms:modified>
</cp:coreProperties>
</file>